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E9EEA" w14:textId="7934650F" w:rsidR="008638C2" w:rsidRDefault="7C891E40" w:rsidP="0A0D905E">
      <w:pPr>
        <w:rPr>
          <w:b/>
          <w:bCs/>
          <w:sz w:val="36"/>
          <w:szCs w:val="36"/>
        </w:rPr>
      </w:pPr>
      <w:r w:rsidRPr="0A0D905E">
        <w:rPr>
          <w:b/>
          <w:bCs/>
          <w:sz w:val="36"/>
          <w:szCs w:val="36"/>
        </w:rPr>
        <w:t>Případové studie pro EO 9 a EO 11: Psychiatrická péče</w:t>
      </w:r>
    </w:p>
    <w:p w14:paraId="56532002" w14:textId="25983D55" w:rsidR="0076259B" w:rsidRDefault="0076259B" w:rsidP="7FF4B22D">
      <w:pPr>
        <w:pStyle w:val="Nadpis2"/>
      </w:pPr>
      <w:r>
        <w:t>Základní informace</w:t>
      </w:r>
    </w:p>
    <w:p w14:paraId="267B1B44" w14:textId="6EF254FC" w:rsidR="0076259B" w:rsidRDefault="0076259B" w:rsidP="0076259B">
      <w:r>
        <w:t>Řešená instituce:</w:t>
      </w:r>
      <w:r w:rsidR="004147E6">
        <w:t xml:space="preserve"> </w:t>
      </w:r>
      <w:r w:rsidR="004147E6" w:rsidRPr="009B3346">
        <w:t>Městský úřad Hořice</w:t>
      </w:r>
      <w:r w:rsidR="004147E6">
        <w:t xml:space="preserve"> / </w:t>
      </w:r>
      <w:r w:rsidR="004147E6">
        <w:t>Naše Ulita</w:t>
      </w:r>
    </w:p>
    <w:p w14:paraId="3D94EAE6" w14:textId="43E364C5" w:rsidR="0076259B" w:rsidRDefault="0076259B" w:rsidP="00096BEB">
      <w:r>
        <w:t>Název projektu:</w:t>
      </w:r>
      <w:r w:rsidR="005E6A62">
        <w:t xml:space="preserve"> </w:t>
      </w:r>
      <w:r w:rsidR="00096BEB" w:rsidRPr="00096BEB">
        <w:t>Psychiatrická ambulance s rozšířenou péčí Hořice</w:t>
      </w:r>
    </w:p>
    <w:p w14:paraId="0B53ECA0" w14:textId="1830E2EB" w:rsidR="0076259B" w:rsidRDefault="0076259B" w:rsidP="0076259B">
      <w:r>
        <w:t>Datum prvního rozhovoru v PS:</w:t>
      </w:r>
      <w:r w:rsidR="00926811">
        <w:t xml:space="preserve"> </w:t>
      </w:r>
      <w:r w:rsidR="00096BEB">
        <w:t>17</w:t>
      </w:r>
      <w:r w:rsidR="00926811">
        <w:t>. 0</w:t>
      </w:r>
      <w:r w:rsidR="00096BEB">
        <w:t>7</w:t>
      </w:r>
      <w:r w:rsidR="00926811">
        <w:t>. 202</w:t>
      </w:r>
      <w:r w:rsidR="00096BEB">
        <w:t>5</w:t>
      </w:r>
    </w:p>
    <w:p w14:paraId="182E6C7B" w14:textId="6D70B3B1" w:rsidR="0076259B" w:rsidRPr="0076259B" w:rsidRDefault="0076259B" w:rsidP="0076259B">
      <w:r>
        <w:t>Region:</w:t>
      </w:r>
      <w:r w:rsidR="00926811">
        <w:t xml:space="preserve"> </w:t>
      </w:r>
      <w:r w:rsidR="00096BEB">
        <w:t>Hořice</w:t>
      </w:r>
      <w:r w:rsidR="004147E6">
        <w:t xml:space="preserve"> (královehradecký kraj)</w:t>
      </w:r>
    </w:p>
    <w:p w14:paraId="43D6DA40" w14:textId="55AFDA36" w:rsidR="7C891E40" w:rsidRDefault="7C891E40" w:rsidP="7FF4B22D">
      <w:pPr>
        <w:pStyle w:val="Nadpis2"/>
        <w:rPr>
          <w:b/>
          <w:bCs/>
          <w:sz w:val="24"/>
          <w:szCs w:val="24"/>
        </w:rPr>
      </w:pPr>
      <w:r>
        <w:t>Části případové studie</w:t>
      </w:r>
    </w:p>
    <w:tbl>
      <w:tblPr>
        <w:tblStyle w:val="Mkatabulky"/>
        <w:tblW w:w="0" w:type="auto"/>
        <w:tblLayout w:type="fixed"/>
        <w:tblLook w:val="06A0" w:firstRow="1" w:lastRow="0" w:firstColumn="1" w:lastColumn="0" w:noHBand="1" w:noVBand="1"/>
      </w:tblPr>
      <w:tblGrid>
        <w:gridCol w:w="7225"/>
        <w:gridCol w:w="1791"/>
      </w:tblGrid>
      <w:tr w:rsidR="7FF4B22D" w14:paraId="5FE66E16" w14:textId="77777777" w:rsidTr="00F507F0">
        <w:trPr>
          <w:trHeight w:val="300"/>
        </w:trPr>
        <w:tc>
          <w:tcPr>
            <w:tcW w:w="7225" w:type="dxa"/>
          </w:tcPr>
          <w:p w14:paraId="2ACFF70D" w14:textId="353EAFC9" w:rsidR="25467032" w:rsidRDefault="25467032" w:rsidP="7FF4B22D">
            <w:pPr>
              <w:rPr>
                <w:b/>
                <w:bCs/>
              </w:rPr>
            </w:pPr>
            <w:r w:rsidRPr="7FF4B22D">
              <w:rPr>
                <w:b/>
                <w:bCs/>
              </w:rPr>
              <w:t>Oslovení kontaktních osob projektu</w:t>
            </w:r>
          </w:p>
        </w:tc>
        <w:sdt>
          <w:sdtPr>
            <w:rPr>
              <w:b/>
              <w:bCs/>
            </w:rPr>
            <w:id w:val="-1504428008"/>
            <w14:checkbox>
              <w14:checked w14:val="0"/>
              <w14:checkedState w14:val="2612" w14:font="MS Gothic"/>
              <w14:uncheckedState w14:val="2610" w14:font="MS Gothic"/>
            </w14:checkbox>
          </w:sdtPr>
          <w:sdtContent>
            <w:tc>
              <w:tcPr>
                <w:tcW w:w="1791" w:type="dxa"/>
              </w:tcPr>
              <w:p w14:paraId="570FA1C1" w14:textId="16E1713E" w:rsidR="7FF4B22D" w:rsidRDefault="00F507F0" w:rsidP="7FF4B22D">
                <w:pPr>
                  <w:rPr>
                    <w:b/>
                    <w:bCs/>
                  </w:rPr>
                </w:pPr>
                <w:r>
                  <w:rPr>
                    <w:rFonts w:ascii="MS Gothic" w:eastAsia="MS Gothic" w:hAnsi="MS Gothic" w:hint="eastAsia"/>
                    <w:b/>
                    <w:bCs/>
                  </w:rPr>
                  <w:t>☐</w:t>
                </w:r>
              </w:p>
            </w:tc>
          </w:sdtContent>
        </w:sdt>
      </w:tr>
      <w:tr w:rsidR="7FF4B22D" w14:paraId="4A2E429C" w14:textId="77777777" w:rsidTr="00F507F0">
        <w:trPr>
          <w:trHeight w:val="300"/>
        </w:trPr>
        <w:tc>
          <w:tcPr>
            <w:tcW w:w="7225" w:type="dxa"/>
          </w:tcPr>
          <w:p w14:paraId="7B6AAFEE" w14:textId="7DA931DC" w:rsidR="25467032" w:rsidRDefault="25467032" w:rsidP="7FF4B22D">
            <w:pPr>
              <w:pStyle w:val="Odstavecseseznamem"/>
              <w:numPr>
                <w:ilvl w:val="0"/>
                <w:numId w:val="1"/>
              </w:numPr>
              <w:rPr>
                <w:b/>
                <w:bCs/>
              </w:rPr>
            </w:pPr>
            <w:r w:rsidRPr="7FF4B22D">
              <w:rPr>
                <w:b/>
                <w:bCs/>
              </w:rPr>
              <w:t>Rozhovor s vedením příjemce</w:t>
            </w:r>
          </w:p>
        </w:tc>
        <w:sdt>
          <w:sdtPr>
            <w:rPr>
              <w:b/>
              <w:bCs/>
            </w:rPr>
            <w:id w:val="-1328746132"/>
            <w14:checkbox>
              <w14:checked w14:val="1"/>
              <w14:checkedState w14:val="2612" w14:font="MS Gothic"/>
              <w14:uncheckedState w14:val="2610" w14:font="MS Gothic"/>
            </w14:checkbox>
          </w:sdtPr>
          <w:sdtContent>
            <w:tc>
              <w:tcPr>
                <w:tcW w:w="1791" w:type="dxa"/>
              </w:tcPr>
              <w:p w14:paraId="0E47D9CE" w14:textId="43558233" w:rsidR="7FF4B22D" w:rsidRDefault="002C63BD" w:rsidP="7FF4B22D">
                <w:pPr>
                  <w:rPr>
                    <w:b/>
                    <w:bCs/>
                  </w:rPr>
                </w:pPr>
                <w:r>
                  <w:rPr>
                    <w:rFonts w:ascii="MS Gothic" w:eastAsia="MS Gothic" w:hAnsi="MS Gothic" w:hint="eastAsia"/>
                    <w:b/>
                    <w:bCs/>
                  </w:rPr>
                  <w:t>☒</w:t>
                </w:r>
              </w:p>
            </w:tc>
          </w:sdtContent>
        </w:sdt>
      </w:tr>
      <w:tr w:rsidR="7FF4B22D" w14:paraId="7F2085D5" w14:textId="77777777" w:rsidTr="00F507F0">
        <w:trPr>
          <w:trHeight w:val="300"/>
        </w:trPr>
        <w:tc>
          <w:tcPr>
            <w:tcW w:w="7225" w:type="dxa"/>
          </w:tcPr>
          <w:p w14:paraId="6CEFBC33" w14:textId="423C9A86" w:rsidR="25467032" w:rsidRDefault="25467032" w:rsidP="7FF4B22D">
            <w:pPr>
              <w:pStyle w:val="Odstavecseseznamem"/>
              <w:numPr>
                <w:ilvl w:val="0"/>
                <w:numId w:val="1"/>
              </w:numPr>
              <w:rPr>
                <w:b/>
                <w:bCs/>
              </w:rPr>
            </w:pPr>
            <w:r w:rsidRPr="7FF4B22D">
              <w:rPr>
                <w:b/>
                <w:bCs/>
              </w:rPr>
              <w:t>Rozhovor s lékařem</w:t>
            </w:r>
          </w:p>
        </w:tc>
        <w:sdt>
          <w:sdtPr>
            <w:rPr>
              <w:b/>
              <w:bCs/>
            </w:rPr>
            <w:id w:val="-901912902"/>
            <w14:checkbox>
              <w14:checked w14:val="1"/>
              <w14:checkedState w14:val="2612" w14:font="MS Gothic"/>
              <w14:uncheckedState w14:val="2610" w14:font="MS Gothic"/>
            </w14:checkbox>
          </w:sdtPr>
          <w:sdtContent>
            <w:tc>
              <w:tcPr>
                <w:tcW w:w="1791" w:type="dxa"/>
              </w:tcPr>
              <w:p w14:paraId="7D5D073F" w14:textId="328A0790" w:rsidR="7FF4B22D" w:rsidRDefault="00161EEC" w:rsidP="7FF4B22D">
                <w:pPr>
                  <w:rPr>
                    <w:b/>
                    <w:bCs/>
                  </w:rPr>
                </w:pPr>
                <w:r>
                  <w:rPr>
                    <w:rFonts w:ascii="MS Gothic" w:eastAsia="MS Gothic" w:hAnsi="MS Gothic" w:hint="eastAsia"/>
                    <w:b/>
                    <w:bCs/>
                  </w:rPr>
                  <w:t>☒</w:t>
                </w:r>
              </w:p>
            </w:tc>
          </w:sdtContent>
        </w:sdt>
      </w:tr>
      <w:tr w:rsidR="7FF4B22D" w14:paraId="5790C4C5" w14:textId="77777777" w:rsidTr="00F507F0">
        <w:trPr>
          <w:trHeight w:val="300"/>
        </w:trPr>
        <w:tc>
          <w:tcPr>
            <w:tcW w:w="7225" w:type="dxa"/>
          </w:tcPr>
          <w:p w14:paraId="4ECC82BF" w14:textId="2F2E80D9" w:rsidR="25467032" w:rsidRDefault="25467032" w:rsidP="7FF4B22D">
            <w:pPr>
              <w:pStyle w:val="Odstavecseseznamem"/>
              <w:numPr>
                <w:ilvl w:val="0"/>
                <w:numId w:val="1"/>
              </w:numPr>
              <w:rPr>
                <w:b/>
                <w:bCs/>
              </w:rPr>
            </w:pPr>
            <w:r w:rsidRPr="7FF4B22D">
              <w:rPr>
                <w:b/>
                <w:bCs/>
              </w:rPr>
              <w:t>Rozhovor se zdravotní sestrou</w:t>
            </w:r>
          </w:p>
        </w:tc>
        <w:sdt>
          <w:sdtPr>
            <w:rPr>
              <w:b/>
              <w:bCs/>
            </w:rPr>
            <w:id w:val="607310555"/>
            <w14:checkbox>
              <w14:checked w14:val="0"/>
              <w14:checkedState w14:val="2612" w14:font="MS Gothic"/>
              <w14:uncheckedState w14:val="2610" w14:font="MS Gothic"/>
            </w14:checkbox>
          </w:sdtPr>
          <w:sdtContent>
            <w:tc>
              <w:tcPr>
                <w:tcW w:w="1791" w:type="dxa"/>
              </w:tcPr>
              <w:p w14:paraId="0503B86E" w14:textId="42E3DA93" w:rsidR="7FF4B22D" w:rsidRDefault="00F507F0" w:rsidP="7FF4B22D">
                <w:pPr>
                  <w:rPr>
                    <w:b/>
                    <w:bCs/>
                  </w:rPr>
                </w:pPr>
                <w:r>
                  <w:rPr>
                    <w:rFonts w:ascii="MS Gothic" w:eastAsia="MS Gothic" w:hAnsi="MS Gothic" w:hint="eastAsia"/>
                    <w:b/>
                    <w:bCs/>
                  </w:rPr>
                  <w:t>☐</w:t>
                </w:r>
              </w:p>
            </w:tc>
          </w:sdtContent>
        </w:sdt>
      </w:tr>
      <w:tr w:rsidR="7FF4B22D" w14:paraId="31652034" w14:textId="77777777" w:rsidTr="00F507F0">
        <w:trPr>
          <w:trHeight w:val="300"/>
        </w:trPr>
        <w:tc>
          <w:tcPr>
            <w:tcW w:w="7225" w:type="dxa"/>
          </w:tcPr>
          <w:p w14:paraId="5494303F" w14:textId="5773D3DE" w:rsidR="25467032" w:rsidRDefault="25467032" w:rsidP="7FF4B22D">
            <w:pPr>
              <w:pStyle w:val="Odstavecseseznamem"/>
              <w:numPr>
                <w:ilvl w:val="0"/>
                <w:numId w:val="1"/>
              </w:numPr>
              <w:rPr>
                <w:b/>
                <w:bCs/>
              </w:rPr>
            </w:pPr>
            <w:r w:rsidRPr="7FF4B22D">
              <w:rPr>
                <w:b/>
                <w:bCs/>
              </w:rPr>
              <w:t>Rozhovory s pacientskými organizacemi</w:t>
            </w:r>
          </w:p>
        </w:tc>
        <w:sdt>
          <w:sdtPr>
            <w:rPr>
              <w:b/>
              <w:bCs/>
            </w:rPr>
            <w:id w:val="-279648837"/>
            <w14:checkbox>
              <w14:checked w14:val="0"/>
              <w14:checkedState w14:val="2612" w14:font="MS Gothic"/>
              <w14:uncheckedState w14:val="2610" w14:font="MS Gothic"/>
            </w14:checkbox>
          </w:sdtPr>
          <w:sdtContent>
            <w:tc>
              <w:tcPr>
                <w:tcW w:w="1791" w:type="dxa"/>
              </w:tcPr>
              <w:p w14:paraId="2653AEF0" w14:textId="49C2ED80" w:rsidR="7FF4B22D" w:rsidRDefault="00F507F0" w:rsidP="7FF4B22D">
                <w:pPr>
                  <w:rPr>
                    <w:b/>
                    <w:bCs/>
                  </w:rPr>
                </w:pPr>
                <w:r>
                  <w:rPr>
                    <w:rFonts w:ascii="MS Gothic" w:eastAsia="MS Gothic" w:hAnsi="MS Gothic" w:hint="eastAsia"/>
                    <w:b/>
                    <w:bCs/>
                  </w:rPr>
                  <w:t>☐</w:t>
                </w:r>
              </w:p>
            </w:tc>
          </w:sdtContent>
        </w:sdt>
      </w:tr>
      <w:tr w:rsidR="00B411F8" w14:paraId="72A46A6F" w14:textId="77777777" w:rsidTr="00F507F0">
        <w:trPr>
          <w:trHeight w:val="300"/>
        </w:trPr>
        <w:tc>
          <w:tcPr>
            <w:tcW w:w="7225" w:type="dxa"/>
          </w:tcPr>
          <w:p w14:paraId="2DA108C5" w14:textId="6A1E044E" w:rsidR="00B411F8" w:rsidRPr="00B411F8" w:rsidRDefault="00B411F8" w:rsidP="00B411F8">
            <w:pPr>
              <w:rPr>
                <w:b/>
                <w:bCs/>
              </w:rPr>
            </w:pPr>
            <w:r>
              <w:rPr>
                <w:b/>
                <w:bCs/>
              </w:rPr>
              <w:t>Oslovení navazujících aktérů v regionu</w:t>
            </w:r>
          </w:p>
        </w:tc>
        <w:tc>
          <w:tcPr>
            <w:tcW w:w="1791" w:type="dxa"/>
          </w:tcPr>
          <w:p w14:paraId="15DA4C0E" w14:textId="0A29B95D" w:rsidR="00B411F8" w:rsidRDefault="00000000" w:rsidP="00B411F8">
            <w:pPr>
              <w:rPr>
                <w:b/>
                <w:bCs/>
              </w:rPr>
            </w:pPr>
            <w:sdt>
              <w:sdtPr>
                <w:rPr>
                  <w:b/>
                  <w:bCs/>
                </w:rPr>
                <w:id w:val="203692203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467458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6083194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379933759"/>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246922603"/>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1FD33FF3" w14:textId="77777777" w:rsidTr="00F507F0">
        <w:trPr>
          <w:trHeight w:val="300"/>
        </w:trPr>
        <w:tc>
          <w:tcPr>
            <w:tcW w:w="7225" w:type="dxa"/>
          </w:tcPr>
          <w:p w14:paraId="1A0A3DD2" w14:textId="5852FF90" w:rsidR="00B411F8" w:rsidRDefault="00B411F8" w:rsidP="00B411F8">
            <w:pPr>
              <w:pStyle w:val="Odstavecseseznamem"/>
              <w:numPr>
                <w:ilvl w:val="0"/>
                <w:numId w:val="1"/>
              </w:numPr>
              <w:rPr>
                <w:b/>
                <w:bCs/>
              </w:rPr>
            </w:pPr>
            <w:r w:rsidRPr="7FF4B22D">
              <w:rPr>
                <w:b/>
                <w:bCs/>
              </w:rPr>
              <w:t>Rozhovory s navazujícími aktéry v regionu</w:t>
            </w:r>
          </w:p>
        </w:tc>
        <w:tc>
          <w:tcPr>
            <w:tcW w:w="1791" w:type="dxa"/>
          </w:tcPr>
          <w:p w14:paraId="65889BB3" w14:textId="49C67401" w:rsidR="00B411F8" w:rsidRDefault="00000000" w:rsidP="00B411F8">
            <w:pPr>
              <w:rPr>
                <w:b/>
                <w:bCs/>
              </w:rPr>
            </w:pPr>
            <w:sdt>
              <w:sdtPr>
                <w:rPr>
                  <w:b/>
                  <w:bCs/>
                </w:rPr>
                <w:id w:val="178877295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624589737"/>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707329496"/>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556388061"/>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r w:rsidR="00B411F8">
              <w:rPr>
                <w:b/>
                <w:bCs/>
              </w:rPr>
              <w:t xml:space="preserve"> </w:t>
            </w:r>
            <w:sdt>
              <w:sdtPr>
                <w:rPr>
                  <w:b/>
                  <w:bCs/>
                </w:rPr>
                <w:id w:val="1433168145"/>
                <w14:checkbox>
                  <w14:checked w14:val="0"/>
                  <w14:checkedState w14:val="2612" w14:font="MS Gothic"/>
                  <w14:uncheckedState w14:val="2610" w14:font="MS Gothic"/>
                </w14:checkbox>
              </w:sdtPr>
              <w:sdtContent>
                <w:r w:rsidR="00B411F8">
                  <w:rPr>
                    <w:rFonts w:ascii="MS Gothic" w:eastAsia="MS Gothic" w:hAnsi="MS Gothic" w:hint="eastAsia"/>
                    <w:b/>
                    <w:bCs/>
                  </w:rPr>
                  <w:t>☐</w:t>
                </w:r>
              </w:sdtContent>
            </w:sdt>
          </w:p>
        </w:tc>
      </w:tr>
      <w:tr w:rsidR="00B411F8" w14:paraId="339E353A" w14:textId="77777777" w:rsidTr="00F507F0">
        <w:trPr>
          <w:trHeight w:val="300"/>
        </w:trPr>
        <w:tc>
          <w:tcPr>
            <w:tcW w:w="7225" w:type="dxa"/>
          </w:tcPr>
          <w:p w14:paraId="3DC4A885" w14:textId="5758C937" w:rsidR="00B411F8" w:rsidRDefault="00B411F8" w:rsidP="00B411F8">
            <w:pPr>
              <w:pStyle w:val="Odstavecseseznamem"/>
              <w:numPr>
                <w:ilvl w:val="0"/>
                <w:numId w:val="1"/>
              </w:numPr>
              <w:rPr>
                <w:b/>
                <w:bCs/>
              </w:rPr>
            </w:pPr>
            <w:r w:rsidRPr="7FF4B22D">
              <w:rPr>
                <w:b/>
                <w:bCs/>
              </w:rPr>
              <w:t xml:space="preserve">Získání </w:t>
            </w:r>
            <w:proofErr w:type="gramStart"/>
            <w:r w:rsidRPr="7FF4B22D">
              <w:rPr>
                <w:b/>
                <w:bCs/>
              </w:rPr>
              <w:t>kazuistik - anonymizovaných</w:t>
            </w:r>
            <w:proofErr w:type="gramEnd"/>
            <w:r w:rsidRPr="7FF4B22D">
              <w:rPr>
                <w:b/>
                <w:bCs/>
              </w:rPr>
              <w:t xml:space="preserve"> příběhů pacientů</w:t>
            </w:r>
          </w:p>
        </w:tc>
        <w:sdt>
          <w:sdtPr>
            <w:rPr>
              <w:b/>
              <w:bCs/>
            </w:rPr>
            <w:id w:val="-1162234168"/>
            <w14:checkbox>
              <w14:checked w14:val="0"/>
              <w14:checkedState w14:val="2612" w14:font="MS Gothic"/>
              <w14:uncheckedState w14:val="2610" w14:font="MS Gothic"/>
            </w14:checkbox>
          </w:sdtPr>
          <w:sdtContent>
            <w:tc>
              <w:tcPr>
                <w:tcW w:w="1791" w:type="dxa"/>
              </w:tcPr>
              <w:p w14:paraId="5986AA03" w14:textId="46BEF4EE" w:rsidR="00B411F8" w:rsidRDefault="00B411F8" w:rsidP="00B411F8">
                <w:pPr>
                  <w:rPr>
                    <w:b/>
                    <w:bCs/>
                  </w:rPr>
                </w:pPr>
                <w:r>
                  <w:rPr>
                    <w:rFonts w:ascii="MS Gothic" w:eastAsia="MS Gothic" w:hAnsi="MS Gothic" w:hint="eastAsia"/>
                    <w:b/>
                    <w:bCs/>
                  </w:rPr>
                  <w:t>☐</w:t>
                </w:r>
              </w:p>
            </w:tc>
          </w:sdtContent>
        </w:sdt>
      </w:tr>
    </w:tbl>
    <w:p w14:paraId="42FC574D" w14:textId="3B6107EE" w:rsidR="00B411F8" w:rsidRDefault="00B411F8" w:rsidP="7FF4B22D">
      <w:pPr>
        <w:pStyle w:val="Nadpis2"/>
      </w:pPr>
      <w:r>
        <w:t>Aktéři, kteří byli do PS zapojeni</w:t>
      </w:r>
    </w:p>
    <w:p w14:paraId="29819075" w14:textId="0A45C564" w:rsidR="00B411F8" w:rsidRPr="00B411F8" w:rsidRDefault="00B411F8" w:rsidP="00B411F8">
      <w:pPr>
        <w:rPr>
          <w:i/>
          <w:iCs/>
        </w:rPr>
      </w:pPr>
      <w:r w:rsidRPr="00B411F8">
        <w:rPr>
          <w:i/>
          <w:iCs/>
        </w:rPr>
        <w:t xml:space="preserve">Jméno, funkce, </w:t>
      </w:r>
      <w:r>
        <w:rPr>
          <w:i/>
          <w:iCs/>
        </w:rPr>
        <w:t xml:space="preserve">instituce, </w:t>
      </w:r>
      <w:r w:rsidRPr="00B411F8">
        <w:rPr>
          <w:i/>
          <w:iCs/>
        </w:rPr>
        <w:t>případně délka zkušenosti s institucí</w:t>
      </w:r>
    </w:p>
    <w:tbl>
      <w:tblPr>
        <w:tblStyle w:val="Mkatabulky"/>
        <w:tblW w:w="0" w:type="auto"/>
        <w:tblLook w:val="04A0" w:firstRow="1" w:lastRow="0" w:firstColumn="1" w:lastColumn="0" w:noHBand="0" w:noVBand="1"/>
      </w:tblPr>
      <w:tblGrid>
        <w:gridCol w:w="2254"/>
        <w:gridCol w:w="2254"/>
        <w:gridCol w:w="2254"/>
        <w:gridCol w:w="2254"/>
      </w:tblGrid>
      <w:tr w:rsidR="00D73971" w:rsidRPr="00B411F8" w14:paraId="0A3B1C3B" w14:textId="0F3F6D6E" w:rsidTr="00577746">
        <w:trPr>
          <w:trHeight w:val="397"/>
        </w:trPr>
        <w:tc>
          <w:tcPr>
            <w:tcW w:w="2254" w:type="dxa"/>
          </w:tcPr>
          <w:p w14:paraId="674A3D8B" w14:textId="64AD449B" w:rsidR="00D73971" w:rsidRPr="006877D2" w:rsidRDefault="00D73971" w:rsidP="00D73971">
            <w:pPr>
              <w:pStyle w:val="Nadpis2"/>
              <w:rPr>
                <w:rFonts w:asciiTheme="minorHAnsi" w:eastAsiaTheme="minorHAnsi" w:hAnsiTheme="minorHAnsi" w:cstheme="minorBidi"/>
                <w:color w:val="auto"/>
                <w:sz w:val="24"/>
                <w:szCs w:val="24"/>
              </w:rPr>
            </w:pPr>
            <w:r w:rsidRPr="006877D2">
              <w:rPr>
                <w:rFonts w:asciiTheme="minorHAnsi" w:eastAsiaTheme="minorHAnsi" w:hAnsiTheme="minorHAnsi" w:cstheme="minorBidi"/>
                <w:color w:val="auto"/>
                <w:sz w:val="24"/>
                <w:szCs w:val="24"/>
              </w:rPr>
              <w:t>Mgr. Martin Bártík</w:t>
            </w:r>
          </w:p>
        </w:tc>
        <w:tc>
          <w:tcPr>
            <w:tcW w:w="2254" w:type="dxa"/>
          </w:tcPr>
          <w:p w14:paraId="2627D983" w14:textId="5F7CB7B1" w:rsidR="00D73971" w:rsidRPr="006877D2" w:rsidRDefault="00D73971" w:rsidP="00D73971">
            <w:pPr>
              <w:pStyle w:val="Nadpis2"/>
              <w:rPr>
                <w:rFonts w:asciiTheme="minorHAnsi" w:eastAsiaTheme="minorHAnsi" w:hAnsiTheme="minorHAnsi" w:cstheme="minorBidi"/>
                <w:color w:val="auto"/>
                <w:sz w:val="24"/>
                <w:szCs w:val="24"/>
              </w:rPr>
            </w:pPr>
            <w:r w:rsidRPr="006877D2">
              <w:rPr>
                <w:rFonts w:asciiTheme="minorHAnsi" w:eastAsiaTheme="minorHAnsi" w:hAnsiTheme="minorHAnsi" w:cstheme="minorBidi"/>
                <w:color w:val="auto"/>
                <w:sz w:val="24"/>
                <w:szCs w:val="24"/>
              </w:rPr>
              <w:t xml:space="preserve">Tajemník </w:t>
            </w:r>
            <w:proofErr w:type="spellStart"/>
            <w:r w:rsidRPr="006877D2">
              <w:rPr>
                <w:rFonts w:asciiTheme="minorHAnsi" w:eastAsiaTheme="minorHAnsi" w:hAnsiTheme="minorHAnsi" w:cstheme="minorBidi"/>
                <w:color w:val="auto"/>
                <w:sz w:val="24"/>
                <w:szCs w:val="24"/>
              </w:rPr>
              <w:t>MěÚ</w:t>
            </w:r>
            <w:proofErr w:type="spellEnd"/>
            <w:r w:rsidRPr="006877D2">
              <w:rPr>
                <w:rFonts w:asciiTheme="minorHAnsi" w:eastAsiaTheme="minorHAnsi" w:hAnsiTheme="minorHAnsi" w:cstheme="minorBidi"/>
                <w:color w:val="auto"/>
                <w:sz w:val="24"/>
                <w:szCs w:val="24"/>
              </w:rPr>
              <w:t xml:space="preserve"> Hořice</w:t>
            </w:r>
          </w:p>
        </w:tc>
        <w:tc>
          <w:tcPr>
            <w:tcW w:w="2254" w:type="dxa"/>
          </w:tcPr>
          <w:p w14:paraId="61D02C29" w14:textId="019C2C38" w:rsidR="00D73971" w:rsidRPr="006877D2" w:rsidRDefault="00D73971" w:rsidP="00D73971">
            <w:pPr>
              <w:pStyle w:val="Nadpis2"/>
              <w:rPr>
                <w:sz w:val="18"/>
                <w:szCs w:val="18"/>
              </w:rPr>
            </w:pPr>
            <w:proofErr w:type="spellStart"/>
            <w:r w:rsidRPr="006877D2">
              <w:rPr>
                <w:rFonts w:asciiTheme="minorHAnsi" w:eastAsiaTheme="minorHAnsi" w:hAnsiTheme="minorHAnsi" w:cstheme="minorBidi"/>
                <w:color w:val="auto"/>
                <w:sz w:val="24"/>
                <w:szCs w:val="24"/>
              </w:rPr>
              <w:t>MěÚ</w:t>
            </w:r>
            <w:proofErr w:type="spellEnd"/>
            <w:r w:rsidRPr="006877D2">
              <w:rPr>
                <w:rFonts w:asciiTheme="minorHAnsi" w:eastAsiaTheme="minorHAnsi" w:hAnsiTheme="minorHAnsi" w:cstheme="minorBidi"/>
                <w:color w:val="auto"/>
                <w:sz w:val="24"/>
                <w:szCs w:val="24"/>
              </w:rPr>
              <w:t xml:space="preserve"> Hořice</w:t>
            </w:r>
          </w:p>
        </w:tc>
        <w:tc>
          <w:tcPr>
            <w:tcW w:w="2254" w:type="dxa"/>
          </w:tcPr>
          <w:p w14:paraId="0F55C5BE" w14:textId="23174F64" w:rsidR="00D73971" w:rsidRPr="006877D2" w:rsidRDefault="00D73971" w:rsidP="00D73971">
            <w:pPr>
              <w:pStyle w:val="Nadpis2"/>
              <w:rPr>
                <w:sz w:val="18"/>
                <w:szCs w:val="18"/>
              </w:rPr>
            </w:pPr>
            <w:r w:rsidRPr="006877D2">
              <w:rPr>
                <w:rFonts w:asciiTheme="minorHAnsi" w:eastAsiaTheme="minorHAnsi" w:hAnsiTheme="minorHAnsi" w:cstheme="minorBidi"/>
                <w:color w:val="auto"/>
                <w:sz w:val="24"/>
                <w:szCs w:val="24"/>
              </w:rPr>
              <w:t>Od března 2025</w:t>
            </w:r>
          </w:p>
        </w:tc>
      </w:tr>
      <w:tr w:rsidR="00D73971" w:rsidRPr="00B411F8" w14:paraId="31D587A5" w14:textId="25065E7D" w:rsidTr="00577746">
        <w:trPr>
          <w:trHeight w:val="397"/>
        </w:trPr>
        <w:tc>
          <w:tcPr>
            <w:tcW w:w="2254" w:type="dxa"/>
          </w:tcPr>
          <w:p w14:paraId="55932D6F" w14:textId="5F6240C5" w:rsidR="00D73971" w:rsidRPr="00C04725" w:rsidRDefault="00D73971" w:rsidP="00D73971">
            <w:pPr>
              <w:pStyle w:val="Nadpis2"/>
              <w:rPr>
                <w:rFonts w:asciiTheme="minorHAnsi" w:eastAsiaTheme="minorHAnsi" w:hAnsiTheme="minorHAnsi" w:cstheme="minorBidi"/>
                <w:color w:val="auto"/>
                <w:sz w:val="24"/>
                <w:szCs w:val="24"/>
              </w:rPr>
            </w:pPr>
            <w:proofErr w:type="spellStart"/>
            <w:r w:rsidRPr="00C04725">
              <w:rPr>
                <w:rFonts w:asciiTheme="minorHAnsi" w:eastAsiaTheme="minorHAnsi" w:hAnsiTheme="minorHAnsi" w:cstheme="minorBidi"/>
                <w:color w:val="auto"/>
                <w:sz w:val="24"/>
                <w:szCs w:val="24"/>
              </w:rPr>
              <w:t>Mudr.</w:t>
            </w:r>
            <w:proofErr w:type="spellEnd"/>
            <w:r w:rsidRPr="00C04725">
              <w:rPr>
                <w:rFonts w:asciiTheme="minorHAnsi" w:eastAsiaTheme="minorHAnsi" w:hAnsiTheme="minorHAnsi" w:cstheme="minorBidi"/>
                <w:color w:val="auto"/>
                <w:sz w:val="24"/>
                <w:szCs w:val="24"/>
              </w:rPr>
              <w:t xml:space="preserve"> Andrea </w:t>
            </w:r>
            <w:proofErr w:type="spellStart"/>
            <w:r w:rsidRPr="00C04725">
              <w:rPr>
                <w:rFonts w:asciiTheme="minorHAnsi" w:eastAsiaTheme="minorHAnsi" w:hAnsiTheme="minorHAnsi" w:cstheme="minorBidi"/>
                <w:color w:val="auto"/>
                <w:sz w:val="24"/>
                <w:szCs w:val="24"/>
              </w:rPr>
              <w:t>Wolna</w:t>
            </w:r>
            <w:proofErr w:type="spellEnd"/>
          </w:p>
        </w:tc>
        <w:tc>
          <w:tcPr>
            <w:tcW w:w="2254" w:type="dxa"/>
          </w:tcPr>
          <w:p w14:paraId="0A42CC66" w14:textId="3F4E116B" w:rsidR="00D73971" w:rsidRPr="00C04725" w:rsidRDefault="00D73971" w:rsidP="00D73971">
            <w:pPr>
              <w:pStyle w:val="Nadpis2"/>
              <w:rPr>
                <w:rFonts w:asciiTheme="minorHAnsi" w:eastAsiaTheme="minorHAnsi" w:hAnsiTheme="minorHAnsi" w:cstheme="minorBidi"/>
                <w:color w:val="auto"/>
                <w:sz w:val="24"/>
                <w:szCs w:val="24"/>
              </w:rPr>
            </w:pPr>
            <w:r w:rsidRPr="00C04725">
              <w:rPr>
                <w:rFonts w:asciiTheme="minorHAnsi" w:eastAsiaTheme="minorHAnsi" w:hAnsiTheme="minorHAnsi" w:cstheme="minorBidi"/>
                <w:color w:val="auto"/>
                <w:sz w:val="24"/>
                <w:szCs w:val="24"/>
              </w:rPr>
              <w:t xml:space="preserve">Lékařka </w:t>
            </w:r>
          </w:p>
        </w:tc>
        <w:tc>
          <w:tcPr>
            <w:tcW w:w="2254" w:type="dxa"/>
          </w:tcPr>
          <w:p w14:paraId="3FA82D10" w14:textId="3685A03C" w:rsidR="00D73971" w:rsidRPr="00B411F8" w:rsidRDefault="00D73971" w:rsidP="00D73971">
            <w:pPr>
              <w:pStyle w:val="Nadpis2"/>
              <w:rPr>
                <w:sz w:val="18"/>
                <w:szCs w:val="18"/>
              </w:rPr>
            </w:pPr>
            <w:r>
              <w:rPr>
                <w:rFonts w:asciiTheme="minorHAnsi" w:eastAsiaTheme="minorHAnsi" w:hAnsiTheme="minorHAnsi" w:cstheme="minorBidi"/>
                <w:color w:val="auto"/>
                <w:sz w:val="24"/>
                <w:szCs w:val="24"/>
              </w:rPr>
              <w:t>P</w:t>
            </w:r>
            <w:r w:rsidRPr="00C04725">
              <w:rPr>
                <w:rFonts w:asciiTheme="minorHAnsi" w:eastAsiaTheme="minorHAnsi" w:hAnsiTheme="minorHAnsi" w:cstheme="minorBidi"/>
                <w:color w:val="auto"/>
                <w:sz w:val="24"/>
                <w:szCs w:val="24"/>
              </w:rPr>
              <w:t>sychiatrické ambulance Naše ulita</w:t>
            </w:r>
          </w:p>
        </w:tc>
        <w:tc>
          <w:tcPr>
            <w:tcW w:w="2254" w:type="dxa"/>
          </w:tcPr>
          <w:p w14:paraId="0063B8DB" w14:textId="504D655A" w:rsidR="00D73971" w:rsidRPr="00B411F8" w:rsidRDefault="00D73971" w:rsidP="00D73971">
            <w:pPr>
              <w:pStyle w:val="Nadpis2"/>
              <w:rPr>
                <w:sz w:val="18"/>
                <w:szCs w:val="18"/>
              </w:rPr>
            </w:pPr>
            <w:r>
              <w:rPr>
                <w:rFonts w:asciiTheme="minorHAnsi" w:eastAsiaTheme="minorHAnsi" w:hAnsiTheme="minorHAnsi" w:cstheme="minorBidi"/>
                <w:color w:val="auto"/>
                <w:sz w:val="24"/>
                <w:szCs w:val="24"/>
              </w:rPr>
              <w:t>Praxe zahájena v roce 2009 (Naše Ulita založena v roce 2015)</w:t>
            </w:r>
          </w:p>
        </w:tc>
      </w:tr>
    </w:tbl>
    <w:p w14:paraId="51549F98" w14:textId="65AE0A93" w:rsidR="7C891E40" w:rsidRDefault="7C891E40" w:rsidP="7FF4B22D">
      <w:pPr>
        <w:pStyle w:val="Nadpis2"/>
        <w:rPr>
          <w:b/>
          <w:bCs/>
          <w:sz w:val="24"/>
          <w:szCs w:val="24"/>
        </w:rPr>
      </w:pPr>
      <w:r>
        <w:t>Zjištění případové studie</w:t>
      </w:r>
    </w:p>
    <w:p w14:paraId="132956A2" w14:textId="6650889E" w:rsidR="7C891E40" w:rsidRDefault="7C891E40" w:rsidP="7FF4B22D">
      <w:pPr>
        <w:pStyle w:val="Nadpis3"/>
      </w:pPr>
      <w:r>
        <w:t>Informace k</w:t>
      </w:r>
      <w:r w:rsidR="00F507F0">
        <w:t> </w:t>
      </w:r>
      <w:r>
        <w:t>projektu</w:t>
      </w:r>
    </w:p>
    <w:p w14:paraId="4C76AFF2" w14:textId="4E2FA546" w:rsidR="009D0366" w:rsidRDefault="00E3392B" w:rsidP="00481BB6">
      <w:r w:rsidRPr="00E3392B">
        <w:t>Projekt Psychiatrická ambulance s rozšířenou péčí Hořice řešil havarijní stav městské budovy, kde dlouhodobě sídlila psychiatrická ambulance. Prostory byly technicky i</w:t>
      </w:r>
      <w:r w:rsidR="00481BB6">
        <w:t> </w:t>
      </w:r>
      <w:r w:rsidRPr="00E3392B">
        <w:t>hygienicky nevyhovující, čekárna byla nedostačující, rozvody vody poruchové a</w:t>
      </w:r>
      <w:r w:rsidR="00481BB6">
        <w:t> </w:t>
      </w:r>
      <w:r w:rsidRPr="00E3392B">
        <w:t xml:space="preserve">konstrukce objektu poškozené. </w:t>
      </w:r>
      <w:r w:rsidR="00481BB6" w:rsidRPr="00481BB6">
        <w:t>Trhlina v hlavním nosném překladu byla v</w:t>
      </w:r>
      <w:r w:rsidR="00481BB6">
        <w:t> </w:t>
      </w:r>
      <w:r w:rsidR="00481BB6" w:rsidRPr="00481BB6">
        <w:t>době</w:t>
      </w:r>
      <w:r w:rsidR="00481BB6">
        <w:t xml:space="preserve"> podání žádosti</w:t>
      </w:r>
      <w:r w:rsidR="00481BB6" w:rsidRPr="00481BB6">
        <w:t xml:space="preserve"> podepřena dřevěnou dočasnou konstrukcí, v prostorách se </w:t>
      </w:r>
      <w:r w:rsidR="00481BB6">
        <w:t>opakovaně</w:t>
      </w:r>
      <w:r w:rsidR="00481BB6" w:rsidRPr="00481BB6">
        <w:t xml:space="preserve"> opravoval rozvod vody, do něhož docházelo k průniku zemního materiálu. </w:t>
      </w:r>
      <w:r w:rsidR="009D0366">
        <w:t>To opakovaně omezovalo pacienty i personál zařízení.</w:t>
      </w:r>
    </w:p>
    <w:p w14:paraId="0B07A231" w14:textId="77777777" w:rsidR="00F113B0" w:rsidRDefault="00481BB6" w:rsidP="00481BB6">
      <w:r w:rsidRPr="00481BB6">
        <w:lastRenderedPageBreak/>
        <w:t>V celém patře byla pouze jedna toaleta, kterou společně využívali pacienti</w:t>
      </w:r>
      <w:r w:rsidR="009D0366">
        <w:t>, lékaři</w:t>
      </w:r>
      <w:r w:rsidRPr="00481BB6">
        <w:t xml:space="preserve"> i</w:t>
      </w:r>
      <w:r w:rsidR="009D0366">
        <w:t> </w:t>
      </w:r>
      <w:r w:rsidRPr="00481BB6">
        <w:t xml:space="preserve">klienti sociální rehabilitace. </w:t>
      </w:r>
    </w:p>
    <w:p w14:paraId="77B5C4FD" w14:textId="54AB2334" w:rsidR="00E3392B" w:rsidRPr="00E3392B" w:rsidRDefault="00481BB6" w:rsidP="00F113B0">
      <w:r w:rsidRPr="00481BB6">
        <w:t xml:space="preserve">V rámci rozpočtu města byla z důvodu nedostatku financí dlouhodobě </w:t>
      </w:r>
      <w:r w:rsidR="007353F4">
        <w:t xml:space="preserve">situace řešena a dařilo se zajišťovat pouze nejnutnější </w:t>
      </w:r>
      <w:r w:rsidRPr="00481BB6">
        <w:t>oprav</w:t>
      </w:r>
      <w:r w:rsidR="007353F4">
        <w:t>y</w:t>
      </w:r>
      <w:r w:rsidRPr="00481BB6">
        <w:t xml:space="preserve"> a údržbu budovy.</w:t>
      </w:r>
      <w:r w:rsidR="00F113B0">
        <w:t xml:space="preserve"> </w:t>
      </w:r>
      <w:r w:rsidR="00E3392B" w:rsidRPr="00E3392B">
        <w:t>Město proto připravilo projekt zaměřený na kompletní rekonstrukci objektu, který umožnil vytvořit důstojné a moderní prostředí pro poskytování psychiatrické péče.</w:t>
      </w:r>
    </w:p>
    <w:p w14:paraId="1353101B" w14:textId="77777777" w:rsidR="00E3392B" w:rsidRPr="00E3392B" w:rsidRDefault="00E3392B" w:rsidP="00E3392B">
      <w:r w:rsidRPr="00E3392B">
        <w:t>Rekonstrukce přinesla zásadní zlepšení zázemí pro pacienty i personál – vznikly nové čekárny, sociální zařízení, bezbariérový přístup, terapeutické místnosti i klidové zóny. Ambulance se díky tomu stala bezpečným, estetickým a funkčním místem, které odpovídá potřebám současné doby. Projekt zároveň posílil stabilitu poskytovaných služeb a umožnil rozšíření spolupráce města s organizací Naše ulita, která prostory provozuje.</w:t>
      </w:r>
    </w:p>
    <w:p w14:paraId="749D8863" w14:textId="77777777" w:rsidR="00E3392B" w:rsidRPr="00E3392B" w:rsidRDefault="00E3392B" w:rsidP="00E3392B">
      <w:r w:rsidRPr="00E3392B">
        <w:t>Součástí realizace byly také technický a autorský dozor, BOZP a zpracování projektové dokumentace. Projekt naplnil všechny plánované cíle a indikátory IROP, zajistil dlouhodobou udržitelnost služby a přispěl ke zlepšení kvality i dostupnosti psychiatrické péče pro obyvatele Hořic a širšího regionu.</w:t>
      </w:r>
    </w:p>
    <w:p w14:paraId="4F60833F" w14:textId="057B8215" w:rsidR="7C891E40" w:rsidRDefault="7C891E40" w:rsidP="7FF4B22D">
      <w:pPr>
        <w:pStyle w:val="Nadpis3"/>
      </w:pPr>
      <w:r>
        <w:t>Informace k</w:t>
      </w:r>
      <w:r w:rsidR="00F507F0">
        <w:t> </w:t>
      </w:r>
      <w:r>
        <w:t>příjemci</w:t>
      </w:r>
    </w:p>
    <w:p w14:paraId="34120017" w14:textId="68A7A274" w:rsidR="00F507F0" w:rsidRPr="00982EC9" w:rsidRDefault="009B3346" w:rsidP="007A0E1B">
      <w:r w:rsidRPr="009B3346">
        <w:t>Příjemcem dotace a realizátorem projektu byl Městský úřad Hořice.</w:t>
      </w:r>
      <w:r w:rsidR="007A0E1B">
        <w:t xml:space="preserve"> </w:t>
      </w:r>
      <w:r w:rsidR="007A0E1B" w:rsidRPr="007A0E1B">
        <w:t xml:space="preserve">Úřad dlouhodobě zajišťuje řízení dotačních projektů prostřednictvím </w:t>
      </w:r>
      <w:r w:rsidR="007A0E1B" w:rsidRPr="00982EC9">
        <w:t>vlastního úseku dotací, který koordinuje žádosti, administraci i finanční řízení. V tomto případě byla administrace projektu zajištěna bez nutnosti zapojení externích dodavatelů.</w:t>
      </w:r>
      <w:r w:rsidR="001A2B03" w:rsidRPr="00982EC9">
        <w:t xml:space="preserve"> Projektu se na úřadě věnovali 2 zaměstnanci.</w:t>
      </w:r>
    </w:p>
    <w:p w14:paraId="359383D3" w14:textId="77777777" w:rsidR="008C61B5" w:rsidRDefault="0036541A" w:rsidP="008C61B5">
      <w:r w:rsidRPr="00982EC9">
        <w:t xml:space="preserve">Ačkoliv Městský úřad Hořice je příjemcem dotace, </w:t>
      </w:r>
      <w:r w:rsidR="004C2688" w:rsidRPr="00982EC9">
        <w:t xml:space="preserve">služby poskytuje v rámci prostor psychiatrické ambulance organizace Naše Ulita. </w:t>
      </w:r>
      <w:r w:rsidR="008C61B5" w:rsidRPr="00982EC9">
        <w:t>Organizace poskytuje odborné služby v oblasti psychiatrické a psychologické péče, zaměřené</w:t>
      </w:r>
      <w:r w:rsidR="008C61B5" w:rsidRPr="008C61B5">
        <w:t xml:space="preserve"> především na dospělou populaci. Spolupracuje s Městským úřadem Hořice na základě nájemní smlouvy a má dlouhodobě stabilní postavení v místní síti sociálních a zdravotních služeb. Město i kraj hodnotí její činnost velmi pozitivně – ambulance má plně naplněnou kapacitu a je považována za důležitý pilíř komunitní péče v regionu. </w:t>
      </w:r>
    </w:p>
    <w:p w14:paraId="6EDE41E0" w14:textId="16A81FE2" w:rsidR="0036541A" w:rsidRDefault="008C61B5" w:rsidP="008C61B5">
      <w:r w:rsidRPr="008C61B5">
        <w:t xml:space="preserve">Organizace </w:t>
      </w:r>
      <w:r>
        <w:t>aktuálně</w:t>
      </w:r>
      <w:r w:rsidRPr="008C61B5">
        <w:t xml:space="preserve"> </w:t>
      </w:r>
      <w:r>
        <w:t>usiluje</w:t>
      </w:r>
      <w:r w:rsidRPr="008C61B5">
        <w:t xml:space="preserve"> i o rozšíření své odborné působnosti směrem k dětské psychiatrii</w:t>
      </w:r>
      <w:r>
        <w:t>.</w:t>
      </w:r>
      <w:r w:rsidR="003A3E55">
        <w:t xml:space="preserve"> </w:t>
      </w:r>
    </w:p>
    <w:p w14:paraId="6FF2725D" w14:textId="6579619A" w:rsidR="003A3E55" w:rsidRPr="009B3346" w:rsidRDefault="003A3E55" w:rsidP="008C61B5">
      <w:r>
        <w:t xml:space="preserve">Spolek byl </w:t>
      </w:r>
      <w:proofErr w:type="spellStart"/>
      <w:r w:rsidRPr="00C04725">
        <w:t>Mudr.</w:t>
      </w:r>
      <w:proofErr w:type="spellEnd"/>
      <w:r w:rsidRPr="00C04725">
        <w:t xml:space="preserve"> Andre</w:t>
      </w:r>
      <w:r>
        <w:t>ou</w:t>
      </w:r>
      <w:r w:rsidRPr="00C04725">
        <w:t xml:space="preserve"> </w:t>
      </w:r>
      <w:proofErr w:type="spellStart"/>
      <w:r w:rsidRPr="00C04725">
        <w:t>Woln</w:t>
      </w:r>
      <w:r>
        <w:t>ou</w:t>
      </w:r>
      <w:proofErr w:type="spellEnd"/>
      <w:r>
        <w:t xml:space="preserve"> založen</w:t>
      </w:r>
      <w:r w:rsidR="00450FE4">
        <w:t xml:space="preserve"> jako stacionář pro pacienty po hospitalizaci</w:t>
      </w:r>
      <w:r w:rsidR="002E188B">
        <w:t xml:space="preserve"> nebo pacienty s potřebou pomoci při zhoršení zdravotního stavu s mírnější potřebou </w:t>
      </w:r>
      <w:r w:rsidR="009F566D">
        <w:t>pomoci,</w:t>
      </w:r>
      <w:r w:rsidR="002E188B">
        <w:t xml:space="preserve"> než je hospitalizace</w:t>
      </w:r>
      <w:r w:rsidR="001F563D">
        <w:t xml:space="preserve">. </w:t>
      </w:r>
      <w:r w:rsidR="006F4A91">
        <w:t>Spolek</w:t>
      </w:r>
      <w:r w:rsidR="001F563D">
        <w:t xml:space="preserve"> dlouhodobě </w:t>
      </w:r>
      <w:r w:rsidR="006F4A91">
        <w:t>poskytoval péči v oblasti</w:t>
      </w:r>
      <w:r w:rsidR="001F563D">
        <w:t xml:space="preserve"> psychoterapi</w:t>
      </w:r>
      <w:r w:rsidR="006F4A91">
        <w:t>e</w:t>
      </w:r>
      <w:r w:rsidR="009F566D">
        <w:t xml:space="preserve"> i podpůrn</w:t>
      </w:r>
      <w:r w:rsidR="006F4A91">
        <w:t>ých</w:t>
      </w:r>
      <w:r w:rsidR="009F566D">
        <w:t xml:space="preserve"> metod jako je </w:t>
      </w:r>
      <w:proofErr w:type="spellStart"/>
      <w:r w:rsidR="009F566D">
        <w:t>arterterapie</w:t>
      </w:r>
      <w:proofErr w:type="spellEnd"/>
      <w:r w:rsidR="009F566D">
        <w:t>.</w:t>
      </w:r>
      <w:r w:rsidR="00091F75">
        <w:t xml:space="preserve"> Postupně byly služby na základě poptávky rozšířeny i o denní ambulantní stacionář – službu sociální </w:t>
      </w:r>
      <w:r w:rsidR="00860F2E">
        <w:t xml:space="preserve">rehabilitace </w:t>
      </w:r>
      <w:r w:rsidR="00860F2E">
        <w:lastRenderedPageBreak/>
        <w:t>a komplexní psychiatrickou ambulanci.</w:t>
      </w:r>
      <w:r w:rsidR="000514BD">
        <w:t xml:space="preserve"> Tyto služby byly vzájemně provázané což pacienti velice oceňovali.</w:t>
      </w:r>
    </w:p>
    <w:tbl>
      <w:tblPr>
        <w:tblStyle w:val="Mkatabulky"/>
        <w:tblW w:w="0" w:type="auto"/>
        <w:tblLook w:val="04A0" w:firstRow="1" w:lastRow="0" w:firstColumn="1" w:lastColumn="0" w:noHBand="0" w:noVBand="1"/>
      </w:tblPr>
      <w:tblGrid>
        <w:gridCol w:w="8075"/>
        <w:gridCol w:w="941"/>
      </w:tblGrid>
      <w:tr w:rsidR="00B411F8" w14:paraId="7F0A5823" w14:textId="77777777" w:rsidTr="0097129C">
        <w:tc>
          <w:tcPr>
            <w:tcW w:w="8075" w:type="dxa"/>
          </w:tcPr>
          <w:p w14:paraId="31FE92CA" w14:textId="77777777" w:rsidR="00B411F8" w:rsidRDefault="00B411F8" w:rsidP="0097129C">
            <w:pPr>
              <w:rPr>
                <w:i/>
                <w:iCs/>
              </w:rPr>
            </w:pPr>
            <w:r>
              <w:rPr>
                <w:i/>
                <w:iCs/>
              </w:rPr>
              <w:t>Psychiatrická nemocnice</w:t>
            </w:r>
          </w:p>
        </w:tc>
        <w:sdt>
          <w:sdtPr>
            <w:rPr>
              <w:b/>
              <w:bCs/>
            </w:rPr>
            <w:id w:val="-871068449"/>
            <w14:checkbox>
              <w14:checked w14:val="0"/>
              <w14:checkedState w14:val="2612" w14:font="MS Gothic"/>
              <w14:uncheckedState w14:val="2610" w14:font="MS Gothic"/>
            </w14:checkbox>
          </w:sdtPr>
          <w:sdtContent>
            <w:tc>
              <w:tcPr>
                <w:tcW w:w="941" w:type="dxa"/>
              </w:tcPr>
              <w:p w14:paraId="0E521C0A" w14:textId="77777777" w:rsidR="00B411F8" w:rsidRDefault="00B411F8" w:rsidP="0097129C">
                <w:pPr>
                  <w:rPr>
                    <w:i/>
                    <w:iCs/>
                  </w:rPr>
                </w:pPr>
                <w:r>
                  <w:rPr>
                    <w:rFonts w:ascii="MS Gothic" w:eastAsia="MS Gothic" w:hAnsi="MS Gothic" w:hint="eastAsia"/>
                    <w:b/>
                    <w:bCs/>
                  </w:rPr>
                  <w:t>☐</w:t>
                </w:r>
              </w:p>
            </w:tc>
          </w:sdtContent>
        </w:sdt>
      </w:tr>
      <w:tr w:rsidR="00B411F8" w14:paraId="6D0CB428" w14:textId="77777777" w:rsidTr="0097129C">
        <w:tc>
          <w:tcPr>
            <w:tcW w:w="8075" w:type="dxa"/>
          </w:tcPr>
          <w:p w14:paraId="4AE432DF" w14:textId="77777777" w:rsidR="00B411F8" w:rsidRDefault="00B411F8" w:rsidP="0097129C">
            <w:pPr>
              <w:rPr>
                <w:i/>
                <w:iCs/>
              </w:rPr>
            </w:pPr>
            <w:r>
              <w:rPr>
                <w:i/>
                <w:iCs/>
              </w:rPr>
              <w:t>Psychiatrická klinika v rámci všeobecné nemocnice</w:t>
            </w:r>
          </w:p>
        </w:tc>
        <w:sdt>
          <w:sdtPr>
            <w:rPr>
              <w:b/>
              <w:bCs/>
            </w:rPr>
            <w:id w:val="1245763222"/>
            <w14:checkbox>
              <w14:checked w14:val="0"/>
              <w14:checkedState w14:val="2612" w14:font="MS Gothic"/>
              <w14:uncheckedState w14:val="2610" w14:font="MS Gothic"/>
            </w14:checkbox>
          </w:sdtPr>
          <w:sdtContent>
            <w:tc>
              <w:tcPr>
                <w:tcW w:w="941" w:type="dxa"/>
              </w:tcPr>
              <w:p w14:paraId="2F806E1A" w14:textId="77777777" w:rsidR="00B411F8" w:rsidRDefault="00B411F8" w:rsidP="0097129C">
                <w:pPr>
                  <w:rPr>
                    <w:i/>
                    <w:iCs/>
                  </w:rPr>
                </w:pPr>
                <w:r>
                  <w:rPr>
                    <w:rFonts w:ascii="MS Gothic" w:eastAsia="MS Gothic" w:hAnsi="MS Gothic" w:hint="eastAsia"/>
                    <w:b/>
                    <w:bCs/>
                  </w:rPr>
                  <w:t>☐</w:t>
                </w:r>
              </w:p>
            </w:tc>
          </w:sdtContent>
        </w:sdt>
      </w:tr>
      <w:tr w:rsidR="00B411F8" w14:paraId="0AC2FADC" w14:textId="77777777" w:rsidTr="0097129C">
        <w:tc>
          <w:tcPr>
            <w:tcW w:w="8075" w:type="dxa"/>
          </w:tcPr>
          <w:p w14:paraId="1B686522" w14:textId="77777777" w:rsidR="00B411F8" w:rsidRDefault="00B411F8" w:rsidP="0097129C">
            <w:pPr>
              <w:rPr>
                <w:i/>
                <w:iCs/>
              </w:rPr>
            </w:pPr>
            <w:r>
              <w:rPr>
                <w:i/>
                <w:iCs/>
              </w:rPr>
              <w:t>Psychiatrická ambulance</w:t>
            </w:r>
          </w:p>
        </w:tc>
        <w:sdt>
          <w:sdtPr>
            <w:rPr>
              <w:b/>
              <w:bCs/>
            </w:rPr>
            <w:id w:val="1223788875"/>
            <w14:checkbox>
              <w14:checked w14:val="1"/>
              <w14:checkedState w14:val="2612" w14:font="MS Gothic"/>
              <w14:uncheckedState w14:val="2610" w14:font="MS Gothic"/>
            </w14:checkbox>
          </w:sdtPr>
          <w:sdtContent>
            <w:tc>
              <w:tcPr>
                <w:tcW w:w="941" w:type="dxa"/>
              </w:tcPr>
              <w:p w14:paraId="0EFC93E9" w14:textId="61FFC537" w:rsidR="00B411F8" w:rsidRDefault="002B3F70" w:rsidP="0097129C">
                <w:pPr>
                  <w:rPr>
                    <w:i/>
                    <w:iCs/>
                  </w:rPr>
                </w:pPr>
                <w:r>
                  <w:rPr>
                    <w:rFonts w:ascii="MS Gothic" w:eastAsia="MS Gothic" w:hAnsi="MS Gothic" w:hint="eastAsia"/>
                    <w:b/>
                    <w:bCs/>
                  </w:rPr>
                  <w:t>☒</w:t>
                </w:r>
              </w:p>
            </w:tc>
          </w:sdtContent>
        </w:sdt>
      </w:tr>
      <w:tr w:rsidR="00B411F8" w14:paraId="50B2A16D" w14:textId="77777777" w:rsidTr="0097129C">
        <w:tc>
          <w:tcPr>
            <w:tcW w:w="8075" w:type="dxa"/>
          </w:tcPr>
          <w:p w14:paraId="751E79A6" w14:textId="77777777" w:rsidR="00B411F8" w:rsidRDefault="00B411F8" w:rsidP="0097129C">
            <w:pPr>
              <w:rPr>
                <w:i/>
                <w:iCs/>
              </w:rPr>
            </w:pPr>
            <w:r>
              <w:rPr>
                <w:i/>
                <w:iCs/>
              </w:rPr>
              <w:t>Centrum duševního zdraví</w:t>
            </w:r>
          </w:p>
        </w:tc>
        <w:sdt>
          <w:sdtPr>
            <w:rPr>
              <w:b/>
              <w:bCs/>
            </w:rPr>
            <w:id w:val="-409001796"/>
            <w14:checkbox>
              <w14:checked w14:val="0"/>
              <w14:checkedState w14:val="2612" w14:font="MS Gothic"/>
              <w14:uncheckedState w14:val="2610" w14:font="MS Gothic"/>
            </w14:checkbox>
          </w:sdtPr>
          <w:sdtContent>
            <w:tc>
              <w:tcPr>
                <w:tcW w:w="941" w:type="dxa"/>
              </w:tcPr>
              <w:p w14:paraId="2D2DCA32" w14:textId="77777777" w:rsidR="00B411F8" w:rsidRDefault="00B411F8" w:rsidP="0097129C">
                <w:pPr>
                  <w:rPr>
                    <w:i/>
                    <w:iCs/>
                  </w:rPr>
                </w:pPr>
                <w:r>
                  <w:rPr>
                    <w:rFonts w:ascii="MS Gothic" w:eastAsia="MS Gothic" w:hAnsi="MS Gothic" w:hint="eastAsia"/>
                    <w:b/>
                    <w:bCs/>
                  </w:rPr>
                  <w:t>☐</w:t>
                </w:r>
              </w:p>
            </w:tc>
          </w:sdtContent>
        </w:sdt>
      </w:tr>
      <w:tr w:rsidR="00B411F8" w14:paraId="2C07E330" w14:textId="77777777" w:rsidTr="0097129C">
        <w:tc>
          <w:tcPr>
            <w:tcW w:w="8075" w:type="dxa"/>
          </w:tcPr>
          <w:p w14:paraId="6FE7B474" w14:textId="77777777" w:rsidR="00B411F8" w:rsidRDefault="00B411F8" w:rsidP="0097129C">
            <w:pPr>
              <w:rPr>
                <w:i/>
                <w:iCs/>
              </w:rPr>
            </w:pPr>
            <w:r>
              <w:rPr>
                <w:i/>
                <w:iCs/>
              </w:rPr>
              <w:t>Psychiatrický stacionář</w:t>
            </w:r>
          </w:p>
        </w:tc>
        <w:sdt>
          <w:sdtPr>
            <w:rPr>
              <w:b/>
              <w:bCs/>
            </w:rPr>
            <w:id w:val="-210503138"/>
            <w14:checkbox>
              <w14:checked w14:val="0"/>
              <w14:checkedState w14:val="2612" w14:font="MS Gothic"/>
              <w14:uncheckedState w14:val="2610" w14:font="MS Gothic"/>
            </w14:checkbox>
          </w:sdtPr>
          <w:sdtContent>
            <w:tc>
              <w:tcPr>
                <w:tcW w:w="941" w:type="dxa"/>
              </w:tcPr>
              <w:p w14:paraId="2702A886" w14:textId="77777777" w:rsidR="00B411F8" w:rsidRDefault="00B411F8" w:rsidP="0097129C">
                <w:pPr>
                  <w:rPr>
                    <w:i/>
                    <w:iCs/>
                  </w:rPr>
                </w:pPr>
                <w:r>
                  <w:rPr>
                    <w:rFonts w:ascii="MS Gothic" w:eastAsia="MS Gothic" w:hAnsi="MS Gothic" w:hint="eastAsia"/>
                    <w:b/>
                    <w:bCs/>
                  </w:rPr>
                  <w:t>☐</w:t>
                </w:r>
              </w:p>
            </w:tc>
          </w:sdtContent>
        </w:sdt>
      </w:tr>
      <w:tr w:rsidR="00B411F8" w14:paraId="03A31FE3" w14:textId="77777777" w:rsidTr="0097129C">
        <w:tc>
          <w:tcPr>
            <w:tcW w:w="8075" w:type="dxa"/>
          </w:tcPr>
          <w:p w14:paraId="45A37F5B" w14:textId="77777777" w:rsidR="00B411F8" w:rsidRDefault="00B411F8" w:rsidP="0097129C">
            <w:pPr>
              <w:rPr>
                <w:i/>
                <w:iCs/>
              </w:rPr>
            </w:pPr>
            <w:r>
              <w:rPr>
                <w:i/>
                <w:iCs/>
              </w:rPr>
              <w:t>Psychoterapie</w:t>
            </w:r>
          </w:p>
        </w:tc>
        <w:sdt>
          <w:sdtPr>
            <w:rPr>
              <w:b/>
              <w:bCs/>
            </w:rPr>
            <w:id w:val="1522049513"/>
            <w14:checkbox>
              <w14:checked w14:val="0"/>
              <w14:checkedState w14:val="2612" w14:font="MS Gothic"/>
              <w14:uncheckedState w14:val="2610" w14:font="MS Gothic"/>
            </w14:checkbox>
          </w:sdtPr>
          <w:sdtContent>
            <w:tc>
              <w:tcPr>
                <w:tcW w:w="941" w:type="dxa"/>
              </w:tcPr>
              <w:p w14:paraId="2C599483" w14:textId="77777777" w:rsidR="00B411F8" w:rsidRDefault="00B411F8" w:rsidP="0097129C">
                <w:pPr>
                  <w:rPr>
                    <w:i/>
                    <w:iCs/>
                  </w:rPr>
                </w:pPr>
                <w:r>
                  <w:rPr>
                    <w:rFonts w:ascii="MS Gothic" w:eastAsia="MS Gothic" w:hAnsi="MS Gothic" w:hint="eastAsia"/>
                    <w:b/>
                    <w:bCs/>
                  </w:rPr>
                  <w:t>☐</w:t>
                </w:r>
              </w:p>
            </w:tc>
          </w:sdtContent>
        </w:sdt>
      </w:tr>
      <w:tr w:rsidR="00B411F8" w14:paraId="75158362" w14:textId="77777777" w:rsidTr="0097129C">
        <w:tc>
          <w:tcPr>
            <w:tcW w:w="8075" w:type="dxa"/>
          </w:tcPr>
          <w:p w14:paraId="240B0715" w14:textId="77777777" w:rsidR="00B411F8" w:rsidRDefault="00B411F8" w:rsidP="0097129C">
            <w:pPr>
              <w:rPr>
                <w:i/>
                <w:iCs/>
              </w:rPr>
            </w:pPr>
            <w:r>
              <w:rPr>
                <w:i/>
                <w:iCs/>
              </w:rPr>
              <w:t>Mobilní psychiatrický tým</w:t>
            </w:r>
          </w:p>
        </w:tc>
        <w:sdt>
          <w:sdtPr>
            <w:rPr>
              <w:b/>
              <w:bCs/>
            </w:rPr>
            <w:id w:val="894706952"/>
            <w14:checkbox>
              <w14:checked w14:val="0"/>
              <w14:checkedState w14:val="2612" w14:font="MS Gothic"/>
              <w14:uncheckedState w14:val="2610" w14:font="MS Gothic"/>
            </w14:checkbox>
          </w:sdtPr>
          <w:sdtContent>
            <w:tc>
              <w:tcPr>
                <w:tcW w:w="941" w:type="dxa"/>
              </w:tcPr>
              <w:p w14:paraId="561B6C45" w14:textId="77777777" w:rsidR="00B411F8" w:rsidRDefault="00B411F8" w:rsidP="0097129C">
                <w:pPr>
                  <w:rPr>
                    <w:i/>
                    <w:iCs/>
                  </w:rPr>
                </w:pPr>
                <w:r>
                  <w:rPr>
                    <w:rFonts w:ascii="MS Gothic" w:eastAsia="MS Gothic" w:hAnsi="MS Gothic" w:hint="eastAsia"/>
                    <w:b/>
                    <w:bCs/>
                  </w:rPr>
                  <w:t>☐</w:t>
                </w:r>
              </w:p>
            </w:tc>
          </w:sdtContent>
        </w:sdt>
      </w:tr>
      <w:tr w:rsidR="00B411F8" w14:paraId="5D5958B4" w14:textId="77777777" w:rsidTr="0097129C">
        <w:tc>
          <w:tcPr>
            <w:tcW w:w="8075" w:type="dxa"/>
          </w:tcPr>
          <w:p w14:paraId="555E2B28" w14:textId="77777777" w:rsidR="00B411F8" w:rsidRDefault="00B411F8" w:rsidP="0097129C">
            <w:pPr>
              <w:rPr>
                <w:i/>
                <w:iCs/>
              </w:rPr>
            </w:pPr>
            <w:r>
              <w:rPr>
                <w:i/>
                <w:iCs/>
              </w:rPr>
              <w:t>Jiné, popsat:</w:t>
            </w:r>
          </w:p>
        </w:tc>
        <w:sdt>
          <w:sdtPr>
            <w:rPr>
              <w:b/>
              <w:bCs/>
            </w:rPr>
            <w:id w:val="636230780"/>
            <w14:checkbox>
              <w14:checked w14:val="0"/>
              <w14:checkedState w14:val="2612" w14:font="MS Gothic"/>
              <w14:uncheckedState w14:val="2610" w14:font="MS Gothic"/>
            </w14:checkbox>
          </w:sdtPr>
          <w:sdtContent>
            <w:tc>
              <w:tcPr>
                <w:tcW w:w="941" w:type="dxa"/>
              </w:tcPr>
              <w:p w14:paraId="18AA6E62" w14:textId="77777777" w:rsidR="00B411F8" w:rsidRDefault="00B411F8" w:rsidP="0097129C">
                <w:pPr>
                  <w:rPr>
                    <w:i/>
                    <w:iCs/>
                  </w:rPr>
                </w:pPr>
                <w:r>
                  <w:rPr>
                    <w:rFonts w:ascii="MS Gothic" w:eastAsia="MS Gothic" w:hAnsi="MS Gothic" w:hint="eastAsia"/>
                    <w:b/>
                    <w:bCs/>
                  </w:rPr>
                  <w:t>☐</w:t>
                </w:r>
              </w:p>
            </w:tc>
          </w:sdtContent>
        </w:sdt>
      </w:tr>
    </w:tbl>
    <w:p w14:paraId="5811AADF" w14:textId="3CCC3FDD" w:rsidR="7C891E40" w:rsidRDefault="7C891E40" w:rsidP="7FF4B22D">
      <w:pPr>
        <w:pStyle w:val="Nadpis3"/>
      </w:pPr>
      <w:r>
        <w:t>Význam projektu pro příjemce</w:t>
      </w:r>
    </w:p>
    <w:p w14:paraId="79F27250" w14:textId="03B416B3" w:rsidR="00844BC5" w:rsidRPr="0058634A" w:rsidRDefault="00440C78" w:rsidP="00F507F0">
      <w:r w:rsidRPr="0058634A">
        <w:t xml:space="preserve">Provozovatel psychiatrické ambulance vnímá projekt jako zcela zásadní díky </w:t>
      </w:r>
      <w:r w:rsidR="00AB6E53" w:rsidRPr="0058634A">
        <w:t xml:space="preserve">zajištění bezbariérového a bezpečného prostoru pro </w:t>
      </w:r>
      <w:r w:rsidR="003B0154" w:rsidRPr="0058634A">
        <w:t>poskytování zdravotnické</w:t>
      </w:r>
      <w:r w:rsidR="00AB6E53" w:rsidRPr="0058634A">
        <w:t xml:space="preserve"> psychiatrické péče</w:t>
      </w:r>
      <w:r w:rsidR="001E1A8B" w:rsidRPr="0058634A">
        <w:t>. Díky lepšímu zázemí bylo možné rozšířit prostor pro sociální rehabilitaci</w:t>
      </w:r>
      <w:r w:rsidR="00BD6EB7" w:rsidRPr="0058634A">
        <w:t xml:space="preserve"> o cvičnou kuchyni, prostoru pro relaxaci </w:t>
      </w:r>
      <w:r w:rsidR="003B0154" w:rsidRPr="0058634A">
        <w:t xml:space="preserve">(květinová terasa) </w:t>
      </w:r>
      <w:r w:rsidR="00BD6EB7" w:rsidRPr="0058634A">
        <w:t>a pohybové terapie, sociální šatník a potravinovou banku</w:t>
      </w:r>
      <w:r w:rsidR="00945B22" w:rsidRPr="0058634A">
        <w:t xml:space="preserve"> a pro psychoterapie individuální i skupinové. </w:t>
      </w:r>
    </w:p>
    <w:p w14:paraId="4C80675D" w14:textId="40A8F2B3" w:rsidR="00945B22" w:rsidRPr="0058634A" w:rsidRDefault="00945B22" w:rsidP="00F507F0">
      <w:r w:rsidRPr="0058634A">
        <w:t xml:space="preserve">V unikátním </w:t>
      </w:r>
      <w:r w:rsidR="00E64FE6" w:rsidRPr="0058634A">
        <w:t>prostoru,</w:t>
      </w:r>
      <w:r w:rsidRPr="0058634A">
        <w:t xml:space="preserve"> ve kterém se pacienti cítí </w:t>
      </w:r>
      <w:r w:rsidR="005459B5" w:rsidRPr="0058634A">
        <w:t>dobře je možné využít na jednom místě už služby psychologa, adiktologa, fyzioterapeuta</w:t>
      </w:r>
      <w:r w:rsidR="003B0154" w:rsidRPr="0058634A">
        <w:t xml:space="preserve"> a</w:t>
      </w:r>
      <w:r w:rsidR="005459B5" w:rsidRPr="0058634A">
        <w:t xml:space="preserve"> sociální poradenství</w:t>
      </w:r>
      <w:r w:rsidR="003B0154" w:rsidRPr="0058634A">
        <w:t xml:space="preserve">. </w:t>
      </w:r>
    </w:p>
    <w:p w14:paraId="47606C19" w14:textId="75EDE501" w:rsidR="00F507F0" w:rsidRPr="0058634A" w:rsidRDefault="00095D76" w:rsidP="00E64FE6">
      <w:r w:rsidRPr="0058634A">
        <w:t>V souvislosti s projektem organizace Naše ulita rozšířila i poskytování služeb</w:t>
      </w:r>
      <w:r w:rsidR="005B6DC1" w:rsidRPr="0058634A">
        <w:t xml:space="preserve"> sociální podpory</w:t>
      </w:r>
      <w:r w:rsidRPr="0058634A">
        <w:t xml:space="preserve"> v</w:t>
      </w:r>
      <w:r w:rsidR="005B6DC1" w:rsidRPr="0058634A">
        <w:t> </w:t>
      </w:r>
      <w:r w:rsidRPr="0058634A">
        <w:t>terénu</w:t>
      </w:r>
      <w:r w:rsidR="005B6DC1" w:rsidRPr="0058634A">
        <w:t>, mimo ambulantní stacionář, a také rozšířili věkovou hranici pro pacienty od 16 do 100 let.</w:t>
      </w:r>
      <w:r w:rsidR="00EB126C">
        <w:t xml:space="preserve"> </w:t>
      </w:r>
      <w:r w:rsidR="00835AF8">
        <w:t>V plánu je v těchto prostorách rozšířit tým o dětského psychiatra</w:t>
      </w:r>
      <w:r w:rsidR="004E2F6D">
        <w:t xml:space="preserve"> a psychologa, případně neurologa. V poslední době se organizace na základě identifikovaných potřeb více zaměřuje na </w:t>
      </w:r>
      <w:r w:rsidR="00690C7D">
        <w:t>dospívající (osvěta, rozšíření věkové hranice).</w:t>
      </w:r>
    </w:p>
    <w:p w14:paraId="25312946" w14:textId="5D703E4F" w:rsidR="00B411F8" w:rsidRDefault="00B411F8" w:rsidP="00B411F8">
      <w:pPr>
        <w:pStyle w:val="Nadpis3"/>
      </w:pPr>
      <w:r>
        <w:t>Další aktéři zapojení do PS</w:t>
      </w:r>
    </w:p>
    <w:p w14:paraId="60820F27" w14:textId="0EAEB786" w:rsidR="00B411F8" w:rsidRPr="00274E2E" w:rsidRDefault="00E64FE6" w:rsidP="00E92C1C">
      <w:pPr>
        <w:pStyle w:val="Odstavecseseznamem"/>
        <w:numPr>
          <w:ilvl w:val="0"/>
          <w:numId w:val="4"/>
        </w:numPr>
      </w:pPr>
      <w:r w:rsidRPr="00274E2E">
        <w:t>Psychiatrické ambulance Naše ulita (viz výše)</w:t>
      </w:r>
      <w:r w:rsidR="00B411F8" w:rsidRPr="00274E2E">
        <w:t xml:space="preserve">  </w:t>
      </w:r>
    </w:p>
    <w:p w14:paraId="545D9E4C" w14:textId="27C310B8" w:rsidR="00B411F8" w:rsidRDefault="00F85757" w:rsidP="00F85757">
      <w:pPr>
        <w:pStyle w:val="Odstavecseseznamem"/>
        <w:numPr>
          <w:ilvl w:val="0"/>
          <w:numId w:val="4"/>
        </w:numPr>
      </w:pPr>
      <w:r w:rsidRPr="00274E2E">
        <w:t>Denní stacionář Klokan o.p.s. (</w:t>
      </w:r>
      <w:r w:rsidR="00C063F2" w:rsidRPr="00274E2E">
        <w:t>zařízení se sociálně-zdravotními službami,</w:t>
      </w:r>
      <w:r w:rsidRPr="00274E2E">
        <w:t xml:space="preserve"> odlehčovací služby</w:t>
      </w:r>
      <w:r>
        <w:t>,</w:t>
      </w:r>
      <w:r w:rsidR="00C063F2" w:rsidRPr="00C063F2">
        <w:t xml:space="preserve"> spolupracuj</w:t>
      </w:r>
      <w:r>
        <w:t>e</w:t>
      </w:r>
      <w:r w:rsidR="00C063F2" w:rsidRPr="00C063F2">
        <w:t xml:space="preserve"> s</w:t>
      </w:r>
      <w:r>
        <w:t> </w:t>
      </w:r>
      <w:r w:rsidR="00C063F2" w:rsidRPr="00C063F2">
        <w:t>městem</w:t>
      </w:r>
      <w:r>
        <w:t xml:space="preserve"> i ambulancí)</w:t>
      </w:r>
    </w:p>
    <w:p w14:paraId="20B3DB55" w14:textId="23E88A30" w:rsidR="00F85757" w:rsidRDefault="00274E2E" w:rsidP="00F85757">
      <w:pPr>
        <w:pStyle w:val="Odstavecseseznamem"/>
        <w:numPr>
          <w:ilvl w:val="0"/>
          <w:numId w:val="4"/>
        </w:numPr>
      </w:pPr>
      <w:r>
        <w:t>Poskytovatelé psychiatrické péče v Hradci Králové a v Jičíně (významná spolupráce zejména při naplnění kapacit)</w:t>
      </w:r>
    </w:p>
    <w:p w14:paraId="2101AA30" w14:textId="7ABA63DC" w:rsidR="2E6542A7" w:rsidRDefault="2E6542A7" w:rsidP="7FF4B22D">
      <w:pPr>
        <w:pStyle w:val="Nadpis3"/>
      </w:pPr>
      <w:r>
        <w:t>Odpovědi v oblasti EO9: Komunitní péče</w:t>
      </w:r>
    </w:p>
    <w:p w14:paraId="74813AD8" w14:textId="5E4273AB" w:rsidR="2E6542A7" w:rsidRDefault="2E6542A7" w:rsidP="7FF4B22D">
      <w:pPr>
        <w:pStyle w:val="Nadpis4"/>
      </w:pPr>
      <w:r>
        <w:t>Změna v informovanosti o komunitní péči</w:t>
      </w:r>
    </w:p>
    <w:tbl>
      <w:tblPr>
        <w:tblStyle w:val="Mkatabulky"/>
        <w:tblW w:w="0" w:type="auto"/>
        <w:tblLook w:val="04A0" w:firstRow="1" w:lastRow="0" w:firstColumn="1" w:lastColumn="0" w:noHBand="0" w:noVBand="1"/>
      </w:tblPr>
      <w:tblGrid>
        <w:gridCol w:w="2976"/>
        <w:gridCol w:w="1049"/>
        <w:gridCol w:w="4991"/>
      </w:tblGrid>
      <w:tr w:rsidR="00F30E47" w14:paraId="32A5DD1C" w14:textId="77777777" w:rsidTr="005A5D01">
        <w:tc>
          <w:tcPr>
            <w:tcW w:w="3006" w:type="dxa"/>
          </w:tcPr>
          <w:p w14:paraId="79D50B08" w14:textId="035A10CD" w:rsidR="00F30E47" w:rsidRDefault="00F30E47" w:rsidP="00F507F0">
            <w:r>
              <w:rPr>
                <w:sz w:val="16"/>
                <w:szCs w:val="14"/>
              </w:rPr>
              <w:t>Existují aktéři z řad zdravotníků a široké i odborné veřejnosti, kteří v návaznosti na investice IROP nově získali povědomí o existenci konkrétní služby psychiatrické komunitní péče v pro ně dostupné vzdálenosti</w:t>
            </w:r>
          </w:p>
        </w:tc>
        <w:tc>
          <w:tcPr>
            <w:tcW w:w="958" w:type="dxa"/>
          </w:tcPr>
          <w:p w14:paraId="5DC2D5A2" w14:textId="7A84158D" w:rsidR="00F30E47" w:rsidRDefault="00F30E47" w:rsidP="00F507F0">
            <w:r>
              <w:t>A2.3.6 A2.3.7 A2.3.8</w:t>
            </w:r>
            <w:r w:rsidR="00913314">
              <w:br/>
              <w:t>B2.3.4</w:t>
            </w:r>
            <w:r w:rsidR="00913314">
              <w:br/>
              <w:t>E1.1.1</w:t>
            </w:r>
          </w:p>
        </w:tc>
        <w:tc>
          <w:tcPr>
            <w:tcW w:w="5052" w:type="dxa"/>
          </w:tcPr>
          <w:p w14:paraId="7D153BD9" w14:textId="44A91519" w:rsidR="00F30E47" w:rsidRDefault="007642CB" w:rsidP="007642CB">
            <w:r>
              <w:t xml:space="preserve">Město Hořice </w:t>
            </w:r>
            <w:r w:rsidRPr="007642CB">
              <w:t xml:space="preserve">pravidelně </w:t>
            </w:r>
            <w:r>
              <w:t xml:space="preserve">a různými cestami </w:t>
            </w:r>
            <w:r w:rsidRPr="007642CB">
              <w:t>propag</w:t>
            </w:r>
            <w:r w:rsidR="00B64EA2">
              <w:t xml:space="preserve">uje služby ve městě a věnuje se i osvětě. Informace jsou na webových stránkách města, </w:t>
            </w:r>
            <w:r w:rsidRPr="007642CB">
              <w:t>ve zpravodaji</w:t>
            </w:r>
            <w:r w:rsidR="00B64EA2">
              <w:t xml:space="preserve"> a</w:t>
            </w:r>
            <w:r w:rsidRPr="007642CB">
              <w:t xml:space="preserve"> na sociálních sítích</w:t>
            </w:r>
            <w:r w:rsidR="00B64EA2">
              <w:t>. P</w:t>
            </w:r>
            <w:r w:rsidRPr="007642CB">
              <w:t xml:space="preserve">ořádají se akce jako Den </w:t>
            </w:r>
            <w:r w:rsidRPr="007642CB">
              <w:lastRenderedPageBreak/>
              <w:t>pro rodinu</w:t>
            </w:r>
            <w:r w:rsidR="00B64EA2">
              <w:t xml:space="preserve"> a služby organizace</w:t>
            </w:r>
            <w:r w:rsidRPr="007642CB">
              <w:t xml:space="preserve"> Naše ulita j</w:t>
            </w:r>
            <w:r w:rsidR="00B64EA2">
              <w:t>sou</w:t>
            </w:r>
            <w:r w:rsidRPr="007642CB">
              <w:t xml:space="preserve"> propagován</w:t>
            </w:r>
            <w:r w:rsidR="00B64EA2">
              <w:t>y</w:t>
            </w:r>
            <w:r w:rsidRPr="007642CB">
              <w:t xml:space="preserve"> i v rámci </w:t>
            </w:r>
            <w:r w:rsidR="00B64EA2">
              <w:t xml:space="preserve">těchto </w:t>
            </w:r>
            <w:r w:rsidRPr="007642CB">
              <w:t>městských akcí.</w:t>
            </w:r>
            <w:r w:rsidR="00B64EA2">
              <w:t xml:space="preserve"> Město je zároveň připraveno na tyto služby odkazovat v případě potřeby.</w:t>
            </w:r>
          </w:p>
        </w:tc>
      </w:tr>
      <w:tr w:rsidR="00F30E47" w14:paraId="068B93A0" w14:textId="77777777" w:rsidTr="005A5D01">
        <w:tc>
          <w:tcPr>
            <w:tcW w:w="3006" w:type="dxa"/>
          </w:tcPr>
          <w:p w14:paraId="20203698" w14:textId="20E345EB" w:rsidR="00F30E47" w:rsidRDefault="00F30E47" w:rsidP="00F507F0">
            <w:r w:rsidRPr="00426E4F">
              <w:rPr>
                <w:sz w:val="16"/>
                <w:szCs w:val="14"/>
              </w:rPr>
              <w:lastRenderedPageBreak/>
              <w:t>Existují aktéři z řad cílových skupin, kteří nově využili služeb psychiatrické komunitní péče, které nebylo způsobeno zvýšenou časovou dostupností či vyšší kapacitou služby, ale zvýšenou informovaností o ní</w:t>
            </w:r>
          </w:p>
        </w:tc>
        <w:tc>
          <w:tcPr>
            <w:tcW w:w="958" w:type="dxa"/>
          </w:tcPr>
          <w:p w14:paraId="25DD8420" w14:textId="67372600" w:rsidR="00F30E47" w:rsidRDefault="00F30E47" w:rsidP="00F507F0">
            <w:r>
              <w:t>A2.3.6 A2.3.7 A2.3.8</w:t>
            </w:r>
          </w:p>
          <w:p w14:paraId="5AEEB15A" w14:textId="5B2DC2F5" w:rsidR="00913314" w:rsidRDefault="00913314" w:rsidP="00F507F0">
            <w:r>
              <w:t>BC2.3.4</w:t>
            </w:r>
            <w:r>
              <w:br/>
              <w:t>E1.1.1</w:t>
            </w:r>
          </w:p>
        </w:tc>
        <w:tc>
          <w:tcPr>
            <w:tcW w:w="5052" w:type="dxa"/>
          </w:tcPr>
          <w:p w14:paraId="0EDB1A45" w14:textId="230D7D2C" w:rsidR="00F30E47" w:rsidRDefault="00C61171" w:rsidP="00F507F0">
            <w:r>
              <w:t>Spíše ne (není doloženo).</w:t>
            </w:r>
          </w:p>
        </w:tc>
      </w:tr>
    </w:tbl>
    <w:p w14:paraId="369F833E" w14:textId="77777777" w:rsidR="00F507F0" w:rsidRPr="00F507F0" w:rsidRDefault="00F507F0" w:rsidP="00F507F0"/>
    <w:p w14:paraId="2D2D7A36" w14:textId="5C0E837F" w:rsidR="2E6542A7" w:rsidRDefault="2E6542A7" w:rsidP="7FF4B22D">
      <w:pPr>
        <w:pStyle w:val="Nadpis4"/>
      </w:pPr>
      <w:r>
        <w:t>Změna v šíři nabízené komunitní péče</w:t>
      </w:r>
    </w:p>
    <w:tbl>
      <w:tblPr>
        <w:tblStyle w:val="Mkatabulky"/>
        <w:tblW w:w="0" w:type="auto"/>
        <w:tblLook w:val="04A0" w:firstRow="1" w:lastRow="0" w:firstColumn="1" w:lastColumn="0" w:noHBand="0" w:noVBand="1"/>
      </w:tblPr>
      <w:tblGrid>
        <w:gridCol w:w="2974"/>
        <w:gridCol w:w="1049"/>
        <w:gridCol w:w="4993"/>
      </w:tblGrid>
      <w:tr w:rsidR="00F30E47" w14:paraId="65A05B72" w14:textId="77777777" w:rsidTr="005A5D01">
        <w:tc>
          <w:tcPr>
            <w:tcW w:w="3006" w:type="dxa"/>
          </w:tcPr>
          <w:p w14:paraId="3823F1A2" w14:textId="76337F1E" w:rsidR="00F30E47" w:rsidRDefault="00F30E47" w:rsidP="001F7BAF">
            <w:r>
              <w:rPr>
                <w:sz w:val="16"/>
                <w:szCs w:val="14"/>
              </w:rPr>
              <w:t>Je doloženo, že na úrovni stejného regionu (tj. s podobnou časovou dostupnosti) došlo ke zvýšení druhů nabízené psychiatrické komunitní péče.</w:t>
            </w:r>
          </w:p>
        </w:tc>
        <w:tc>
          <w:tcPr>
            <w:tcW w:w="958" w:type="dxa"/>
          </w:tcPr>
          <w:p w14:paraId="076C874F" w14:textId="059D0AB2" w:rsidR="00F30E47" w:rsidRDefault="00F30E47" w:rsidP="00F30E47">
            <w:r>
              <w:t>A2.1.2 A2.1.3</w:t>
            </w:r>
            <w:r w:rsidR="00913314">
              <w:br/>
              <w:t>BC2.1.3</w:t>
            </w:r>
          </w:p>
        </w:tc>
        <w:tc>
          <w:tcPr>
            <w:tcW w:w="5052" w:type="dxa"/>
          </w:tcPr>
          <w:p w14:paraId="55F9A79F" w14:textId="1DFA86C0" w:rsidR="00F30E47" w:rsidRDefault="00C61171" w:rsidP="001F7BAF">
            <w:r>
              <w:t xml:space="preserve">V rámci tohoto projektu byly poskytované služby rozšířeny. </w:t>
            </w:r>
          </w:p>
        </w:tc>
      </w:tr>
      <w:tr w:rsidR="00F30E47" w14:paraId="53C92E50" w14:textId="77777777" w:rsidTr="005A5D01">
        <w:tc>
          <w:tcPr>
            <w:tcW w:w="3006" w:type="dxa"/>
          </w:tcPr>
          <w:p w14:paraId="53E118B4" w14:textId="1C59DE1B" w:rsidR="00F30E47" w:rsidRDefault="00F30E47" w:rsidP="001F7BAF">
            <w:r w:rsidRPr="00426E4F">
              <w:rPr>
                <w:sz w:val="16"/>
                <w:szCs w:val="14"/>
              </w:rPr>
              <w:t>Existují aktéři z řad cílových skupin, kteří nově využili služeb psychiatrické komunitní péče, které nebylo způsobeno zvýšenou časovou dostupností či vyšší kapacitou služby, ale tím, že jim nabízená podoba poskytované služby odpovídala lépe než dříve</w:t>
            </w:r>
            <w:r>
              <w:rPr>
                <w:sz w:val="16"/>
                <w:szCs w:val="14"/>
              </w:rPr>
              <w:t>.</w:t>
            </w:r>
          </w:p>
        </w:tc>
        <w:tc>
          <w:tcPr>
            <w:tcW w:w="958" w:type="dxa"/>
          </w:tcPr>
          <w:p w14:paraId="2A1ACE84" w14:textId="74B01265" w:rsidR="00F30E47" w:rsidRDefault="00F30E47" w:rsidP="001F7BAF">
            <w:r>
              <w:t>A2.1.2 A2.1.3</w:t>
            </w:r>
          </w:p>
          <w:p w14:paraId="42F3612F" w14:textId="679B6A5D" w:rsidR="00913314" w:rsidRDefault="00913314" w:rsidP="001F7BAF">
            <w:r>
              <w:t>BC2.1.3</w:t>
            </w:r>
          </w:p>
        </w:tc>
        <w:tc>
          <w:tcPr>
            <w:tcW w:w="5052" w:type="dxa"/>
          </w:tcPr>
          <w:p w14:paraId="7D7D87A1" w14:textId="784FF25A" w:rsidR="00F30E47" w:rsidRDefault="0058634A" w:rsidP="001F7BAF">
            <w:r>
              <w:t>Spíše ne (není doloženo).</w:t>
            </w:r>
          </w:p>
        </w:tc>
      </w:tr>
    </w:tbl>
    <w:p w14:paraId="1CEBED8F" w14:textId="77777777" w:rsidR="00F507F0" w:rsidRPr="00F507F0" w:rsidRDefault="00F507F0" w:rsidP="00F507F0"/>
    <w:p w14:paraId="58DAABF5" w14:textId="4284ADE3" w:rsidR="2E6542A7" w:rsidRDefault="2E6542A7" w:rsidP="7FF4B22D">
      <w:pPr>
        <w:pStyle w:val="Nadpis4"/>
      </w:pPr>
      <w:r>
        <w:t>Změna v pracovních postupech směřujících k větší podpoře komunitní péče</w:t>
      </w:r>
    </w:p>
    <w:tbl>
      <w:tblPr>
        <w:tblStyle w:val="Mkatabulky"/>
        <w:tblW w:w="0" w:type="auto"/>
        <w:tblLook w:val="04A0" w:firstRow="1" w:lastRow="0" w:firstColumn="1" w:lastColumn="0" w:noHBand="0" w:noVBand="1"/>
      </w:tblPr>
      <w:tblGrid>
        <w:gridCol w:w="2976"/>
        <w:gridCol w:w="1049"/>
        <w:gridCol w:w="4991"/>
      </w:tblGrid>
      <w:tr w:rsidR="00F30E47" w14:paraId="421C28EF" w14:textId="77777777" w:rsidTr="005A5D01">
        <w:tc>
          <w:tcPr>
            <w:tcW w:w="3006" w:type="dxa"/>
          </w:tcPr>
          <w:p w14:paraId="68029298" w14:textId="3F7C67E9" w:rsidR="00F30E47" w:rsidRDefault="00F30E47" w:rsidP="001F7BAF">
            <w:r>
              <w:rPr>
                <w:sz w:val="16"/>
                <w:szCs w:val="14"/>
              </w:rPr>
              <w:t>Je doloženo, že na úrovni jedné instituce došlo ke změně pracovních postupů, které mají prokazatelný dopad na zvýšený podíl osob, kteří jsou v rámci instituce zařazeni do služeb psychiatrické komunitní péče (na úrovni nemocnic, klinik apod.).</w:t>
            </w:r>
          </w:p>
        </w:tc>
        <w:tc>
          <w:tcPr>
            <w:tcW w:w="958" w:type="dxa"/>
          </w:tcPr>
          <w:p w14:paraId="48E0D883" w14:textId="77FF830C" w:rsidR="00F30E47" w:rsidRDefault="00F30E47" w:rsidP="001F7BAF">
            <w:r>
              <w:t>A2.2.4 A2.2.5</w:t>
            </w:r>
            <w:r w:rsidR="00913314">
              <w:t xml:space="preserve"> BC1.1.1 BC1.1.2 </w:t>
            </w:r>
          </w:p>
        </w:tc>
        <w:tc>
          <w:tcPr>
            <w:tcW w:w="5052" w:type="dxa"/>
          </w:tcPr>
          <w:p w14:paraId="45BEC1C3" w14:textId="3DCAA22D" w:rsidR="00F30E47" w:rsidRDefault="002D100F" w:rsidP="001F7BAF">
            <w:r>
              <w:t>Spíše ne (není doloženo).</w:t>
            </w:r>
          </w:p>
        </w:tc>
      </w:tr>
      <w:tr w:rsidR="00F30E47" w14:paraId="718FE7BF" w14:textId="77777777" w:rsidTr="005A5D01">
        <w:tc>
          <w:tcPr>
            <w:tcW w:w="3006" w:type="dxa"/>
          </w:tcPr>
          <w:p w14:paraId="4D5B4386" w14:textId="52784D59" w:rsidR="00F30E47" w:rsidRDefault="00F30E47" w:rsidP="001F7BAF">
            <w:r w:rsidRPr="00426E4F">
              <w:rPr>
                <w:sz w:val="16"/>
                <w:szCs w:val="14"/>
              </w:rPr>
              <w:t xml:space="preserve">Existují aktéři z řad cílových skupin, kteří nově využili služeb psychiatrické komunitní péče, které nebylo způsobeno zvýšenou časovou dostupností či vyšší kapacitou služby, ale </w:t>
            </w:r>
            <w:r>
              <w:rPr>
                <w:sz w:val="16"/>
                <w:szCs w:val="14"/>
              </w:rPr>
              <w:t>změnou ve způsobu, jakým jim byla léčba stanovena (bez toho, aniž by došlo k zásadní změně diagnózy).</w:t>
            </w:r>
          </w:p>
        </w:tc>
        <w:tc>
          <w:tcPr>
            <w:tcW w:w="958" w:type="dxa"/>
          </w:tcPr>
          <w:p w14:paraId="25F74E1D" w14:textId="2053673C" w:rsidR="00F30E47" w:rsidRDefault="00F30E47" w:rsidP="001F7BAF">
            <w:r>
              <w:t>A2.2.4 A2.2.5</w:t>
            </w:r>
          </w:p>
        </w:tc>
        <w:tc>
          <w:tcPr>
            <w:tcW w:w="5052" w:type="dxa"/>
          </w:tcPr>
          <w:p w14:paraId="413A3855" w14:textId="21BC6B72" w:rsidR="00F30E47" w:rsidRDefault="002D100F" w:rsidP="001F7BAF">
            <w:r>
              <w:t>Spíše ne (není doloženo).</w:t>
            </w:r>
          </w:p>
        </w:tc>
      </w:tr>
    </w:tbl>
    <w:p w14:paraId="3E880ECB" w14:textId="77777777" w:rsidR="00F507F0" w:rsidRPr="00F507F0" w:rsidRDefault="00F507F0" w:rsidP="00F507F0"/>
    <w:p w14:paraId="6CAE8F6D" w14:textId="2A1ED301" w:rsidR="2E6542A7" w:rsidRDefault="2E6542A7" w:rsidP="7FF4B22D">
      <w:pPr>
        <w:pStyle w:val="Nadpis4"/>
      </w:pPr>
      <w:r>
        <w:t>Dostupnost všech relevantních typů komunitní péče</w:t>
      </w:r>
    </w:p>
    <w:tbl>
      <w:tblPr>
        <w:tblStyle w:val="Mkatabulky"/>
        <w:tblW w:w="0" w:type="auto"/>
        <w:tblLook w:val="04A0" w:firstRow="1" w:lastRow="0" w:firstColumn="1" w:lastColumn="0" w:noHBand="0" w:noVBand="1"/>
      </w:tblPr>
      <w:tblGrid>
        <w:gridCol w:w="3006"/>
        <w:gridCol w:w="958"/>
        <w:gridCol w:w="5052"/>
      </w:tblGrid>
      <w:tr w:rsidR="00F30E47" w14:paraId="2F6E6235" w14:textId="77777777" w:rsidTr="005A5D01">
        <w:tc>
          <w:tcPr>
            <w:tcW w:w="3006" w:type="dxa"/>
          </w:tcPr>
          <w:p w14:paraId="38BA868B" w14:textId="4957A921" w:rsidR="00F30E47" w:rsidRDefault="00F30E47" w:rsidP="001F7BAF">
            <w:r>
              <w:rPr>
                <w:sz w:val="16"/>
                <w:szCs w:val="14"/>
              </w:rPr>
              <w:t>Dle příjemce je nastavená kapacita služeb komunitní péče dostačující nebo chybí v regionu určitý typ podpory.</w:t>
            </w:r>
          </w:p>
        </w:tc>
        <w:tc>
          <w:tcPr>
            <w:tcW w:w="958" w:type="dxa"/>
          </w:tcPr>
          <w:p w14:paraId="46F03E8B" w14:textId="3AAC36A6" w:rsidR="00913314" w:rsidRDefault="00F30E47" w:rsidP="001F7BAF">
            <w:r>
              <w:t>A2.1.2 A2.1.3</w:t>
            </w:r>
            <w:r w:rsidR="00913314">
              <w:br/>
              <w:t>E1.1.1</w:t>
            </w:r>
          </w:p>
        </w:tc>
        <w:tc>
          <w:tcPr>
            <w:tcW w:w="5052" w:type="dxa"/>
          </w:tcPr>
          <w:p w14:paraId="66C85B95" w14:textId="31A109BB" w:rsidR="00F30E47" w:rsidRDefault="0091327E" w:rsidP="001F7BAF">
            <w:r>
              <w:t xml:space="preserve">Kapacita se projektem nenavyšovala. Prostory ale umožňují další rozvoj služeb a aktuálně se </w:t>
            </w:r>
            <w:r w:rsidR="00C12997">
              <w:t>řeší možnosti rozšíření o dětskou psychiatrii o kterou je v regionu i celostátně velký zájem a kapacity jsou nedostatečné.</w:t>
            </w:r>
          </w:p>
        </w:tc>
      </w:tr>
    </w:tbl>
    <w:p w14:paraId="64E8E827" w14:textId="77777777" w:rsidR="00F507F0" w:rsidRPr="00F507F0" w:rsidRDefault="00F507F0" w:rsidP="00F507F0"/>
    <w:p w14:paraId="2C43D8A6" w14:textId="66A4E7F3" w:rsidR="2E6542A7" w:rsidRDefault="2E6542A7" w:rsidP="7FF4B22D">
      <w:pPr>
        <w:pStyle w:val="Nadpis3"/>
      </w:pPr>
      <w:r>
        <w:lastRenderedPageBreak/>
        <w:t xml:space="preserve">Odpovědi v oblasti E011: </w:t>
      </w:r>
      <w:r w:rsidR="3644E2EB">
        <w:t>Obecné fungování</w:t>
      </w:r>
      <w:r>
        <w:t xml:space="preserve"> psychiatrické péče</w:t>
      </w:r>
    </w:p>
    <w:p w14:paraId="0FA57510" w14:textId="7215B39A" w:rsidR="3E2C9908" w:rsidRDefault="3E2C9908" w:rsidP="7FF4B22D">
      <w:pPr>
        <w:pStyle w:val="Nadpis4"/>
      </w:pPr>
      <w:r>
        <w:t>Dopad na restrukturalizaci služeb psychiatrické péče</w:t>
      </w:r>
    </w:p>
    <w:tbl>
      <w:tblPr>
        <w:tblStyle w:val="Mkatabulky"/>
        <w:tblW w:w="0" w:type="auto"/>
        <w:tblLook w:val="04A0" w:firstRow="1" w:lastRow="0" w:firstColumn="1" w:lastColumn="0" w:noHBand="0" w:noVBand="1"/>
      </w:tblPr>
      <w:tblGrid>
        <w:gridCol w:w="2989"/>
        <w:gridCol w:w="1049"/>
        <w:gridCol w:w="4978"/>
      </w:tblGrid>
      <w:tr w:rsidR="00F30E47" w14:paraId="3AA8E7CE" w14:textId="77777777" w:rsidTr="005A5D01">
        <w:tc>
          <w:tcPr>
            <w:tcW w:w="3006" w:type="dxa"/>
          </w:tcPr>
          <w:p w14:paraId="1F41894F" w14:textId="508F72D1" w:rsidR="00F30E47" w:rsidRDefault="00F30E47" w:rsidP="001F7BAF">
            <w:r>
              <w:rPr>
                <w:sz w:val="16"/>
                <w:szCs w:val="14"/>
              </w:rPr>
              <w:t>U některých skupin pacientů (pacientů se specifickou diagnózou) se mění doba, po kterou jsou podporování primárně přes určitý typ podpory; tato situace má obdobný vzorec v různých regionech.</w:t>
            </w:r>
          </w:p>
        </w:tc>
        <w:tc>
          <w:tcPr>
            <w:tcW w:w="1001" w:type="dxa"/>
          </w:tcPr>
          <w:p w14:paraId="0470BB1C" w14:textId="7BB94D93" w:rsidR="00F30E47" w:rsidRDefault="00F30E47" w:rsidP="001F7BAF">
            <w:r>
              <w:t>A3.1.9 A3.1.10</w:t>
            </w:r>
          </w:p>
          <w:p w14:paraId="71B0DEEE" w14:textId="0EE2075A" w:rsidR="00913314" w:rsidRDefault="00913314" w:rsidP="001F7BAF">
            <w:r>
              <w:t>BC3.1.5</w:t>
            </w:r>
            <w:r>
              <w:br/>
              <w:t>BC3.1.6</w:t>
            </w:r>
          </w:p>
        </w:tc>
        <w:tc>
          <w:tcPr>
            <w:tcW w:w="5009" w:type="dxa"/>
          </w:tcPr>
          <w:p w14:paraId="303D4C67" w14:textId="4F8024D8" w:rsidR="00F30E47" w:rsidRDefault="00C12997" w:rsidP="001F7BAF">
            <w:r>
              <w:t>Spíše ne (není doloženo).</w:t>
            </w:r>
          </w:p>
        </w:tc>
      </w:tr>
      <w:tr w:rsidR="00F30E47" w14:paraId="6C1DECDB" w14:textId="77777777" w:rsidTr="005A5D01">
        <w:tc>
          <w:tcPr>
            <w:tcW w:w="3006" w:type="dxa"/>
          </w:tcPr>
          <w:p w14:paraId="7CD1A23F" w14:textId="463E6BE5" w:rsidR="00F30E47" w:rsidRDefault="00F30E47" w:rsidP="001F7BAF">
            <w:r>
              <w:rPr>
                <w:sz w:val="16"/>
                <w:szCs w:val="14"/>
              </w:rPr>
              <w:t>Mění se intenzita a podoba spolupráce mezi různými institucemi v oblasti psychiatrické péče, a to na základě množství klientů (podílu), u nichž daná spolupráce probíhá, ale také způsob komunikace (množství a druh předávaných informací).</w:t>
            </w:r>
          </w:p>
        </w:tc>
        <w:tc>
          <w:tcPr>
            <w:tcW w:w="1001" w:type="dxa"/>
          </w:tcPr>
          <w:p w14:paraId="2D8F8A32" w14:textId="1F228F9B" w:rsidR="00F30E47" w:rsidRDefault="00F30E47" w:rsidP="001F7BAF">
            <w:r>
              <w:t>A3.1.9, A3.1.10</w:t>
            </w:r>
            <w:r w:rsidR="00913314">
              <w:t xml:space="preserve"> BC3.1.5</w:t>
            </w:r>
            <w:r w:rsidR="00913314">
              <w:br/>
              <w:t>BC3.1.6</w:t>
            </w:r>
          </w:p>
        </w:tc>
        <w:tc>
          <w:tcPr>
            <w:tcW w:w="5009" w:type="dxa"/>
          </w:tcPr>
          <w:p w14:paraId="114A57FB" w14:textId="2E7B16F8" w:rsidR="00F30E47" w:rsidRDefault="006B2D56" w:rsidP="001F7BAF">
            <w:r>
              <w:t xml:space="preserve">Služby byly rozšířeny (zejména o doplňkové </w:t>
            </w:r>
            <w:r w:rsidR="007407AE">
              <w:t xml:space="preserve">služby sociální podpory. Spolupráce různých aktérů v regionu se nicméně zásadně neproměnila. </w:t>
            </w:r>
          </w:p>
        </w:tc>
      </w:tr>
    </w:tbl>
    <w:p w14:paraId="32486B1A" w14:textId="77777777" w:rsidR="00F507F0" w:rsidRPr="00F507F0" w:rsidRDefault="00F507F0" w:rsidP="00F507F0"/>
    <w:p w14:paraId="3AB4786D" w14:textId="5A185121" w:rsidR="78E738DC" w:rsidRDefault="78E738DC" w:rsidP="7FF4B22D">
      <w:pPr>
        <w:pStyle w:val="Nadpis4"/>
      </w:pPr>
      <w:r>
        <w:t>Dopad na kvalitu psychiatrické péče</w:t>
      </w:r>
    </w:p>
    <w:tbl>
      <w:tblPr>
        <w:tblStyle w:val="Mkatabulky"/>
        <w:tblW w:w="0" w:type="auto"/>
        <w:tblLook w:val="04A0" w:firstRow="1" w:lastRow="0" w:firstColumn="1" w:lastColumn="0" w:noHBand="0" w:noVBand="1"/>
      </w:tblPr>
      <w:tblGrid>
        <w:gridCol w:w="2989"/>
        <w:gridCol w:w="1049"/>
        <w:gridCol w:w="4978"/>
      </w:tblGrid>
      <w:tr w:rsidR="00F30E47" w14:paraId="10FA0B60" w14:textId="77777777" w:rsidTr="005A5D01">
        <w:tc>
          <w:tcPr>
            <w:tcW w:w="3006" w:type="dxa"/>
          </w:tcPr>
          <w:p w14:paraId="32AC17CF" w14:textId="77777777" w:rsidR="00F30E47" w:rsidRDefault="00F30E47" w:rsidP="00F30E47">
            <w:pPr>
              <w:spacing w:after="120"/>
              <w:rPr>
                <w:sz w:val="16"/>
                <w:szCs w:val="14"/>
              </w:rPr>
            </w:pPr>
            <w:r>
              <w:rPr>
                <w:sz w:val="16"/>
                <w:szCs w:val="14"/>
              </w:rPr>
              <w:t>Oslovení aktéři z řad zástupců institucí poskytující psychiatrickou péči jmenují zaznamenanou změnu v některém z uvedených aspektů:</w:t>
            </w:r>
          </w:p>
          <w:p w14:paraId="0F1A1ED8"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Bezpečnost</w:t>
            </w:r>
          </w:p>
          <w:p w14:paraId="781DF23F"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Efektivita</w:t>
            </w:r>
          </w:p>
          <w:p w14:paraId="2FE35A6A"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Orientace na pacienta</w:t>
            </w:r>
          </w:p>
          <w:p w14:paraId="40107457"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Rovný přístup</w:t>
            </w:r>
          </w:p>
          <w:p w14:paraId="524C13A8"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Včasnost</w:t>
            </w:r>
          </w:p>
          <w:p w14:paraId="4B9AFD01"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Účinnost</w:t>
            </w:r>
          </w:p>
          <w:p w14:paraId="13E8FB90"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Kontinuita</w:t>
            </w:r>
          </w:p>
          <w:p w14:paraId="2FF4A0E3" w14:textId="0D295F0F" w:rsidR="00F30E47" w:rsidRDefault="00F30E47" w:rsidP="00F30E47">
            <w:r>
              <w:rPr>
                <w:sz w:val="16"/>
                <w:szCs w:val="14"/>
              </w:rPr>
              <w:t>Tuto změnu přitom spojují s intervencí projektu podpořeného z IROP.</w:t>
            </w:r>
          </w:p>
        </w:tc>
        <w:tc>
          <w:tcPr>
            <w:tcW w:w="1001" w:type="dxa"/>
          </w:tcPr>
          <w:p w14:paraId="02647478" w14:textId="067844B7" w:rsidR="00F30E47" w:rsidRDefault="00F30E47" w:rsidP="001F7BAF">
            <w:r>
              <w:t>A3.2.11</w:t>
            </w:r>
            <w:r w:rsidR="00913314">
              <w:br/>
              <w:t>BC3.2.7</w:t>
            </w:r>
            <w:r w:rsidR="00913314">
              <w:br/>
              <w:t>E1.1.2</w:t>
            </w:r>
          </w:p>
        </w:tc>
        <w:tc>
          <w:tcPr>
            <w:tcW w:w="5009" w:type="dxa"/>
          </w:tcPr>
          <w:p w14:paraId="56CCFC5B" w14:textId="74FACF4A" w:rsidR="00F30E47" w:rsidRDefault="00BA69C6" w:rsidP="001F7BAF">
            <w:r>
              <w:t xml:space="preserve">Jak již bylo zmíněno výše, zásadní změny nastaly v oblasti bezpečnosti, </w:t>
            </w:r>
            <w:r w:rsidR="00206733">
              <w:t>bezbariérovosti,</w:t>
            </w:r>
            <w:r>
              <w:t xml:space="preserve"> a tedy i rovném přístupu k péči. </w:t>
            </w:r>
            <w:r w:rsidR="00206733">
              <w:t xml:space="preserve">Prostor nebyl původně koncipovaný pro služby moderní psychiatrické péče, ale rekonstrukce se orientovala na pacienta a aktuálně jsou prostory vyhovující. </w:t>
            </w:r>
          </w:p>
        </w:tc>
      </w:tr>
    </w:tbl>
    <w:p w14:paraId="54CBF7F7" w14:textId="77777777" w:rsidR="00F507F0" w:rsidRPr="00F507F0" w:rsidRDefault="00F507F0" w:rsidP="00F507F0"/>
    <w:p w14:paraId="1E827557" w14:textId="31473BE6" w:rsidR="78E738DC" w:rsidRDefault="78E738DC" w:rsidP="7FF4B22D">
      <w:pPr>
        <w:pStyle w:val="Nadpis4"/>
      </w:pPr>
      <w:r>
        <w:t>Dopad na udržitelnost psychiatrické péče</w:t>
      </w:r>
    </w:p>
    <w:tbl>
      <w:tblPr>
        <w:tblStyle w:val="Mkatabulky"/>
        <w:tblW w:w="0" w:type="auto"/>
        <w:tblLook w:val="04A0" w:firstRow="1" w:lastRow="0" w:firstColumn="1" w:lastColumn="0" w:noHBand="0" w:noVBand="1"/>
      </w:tblPr>
      <w:tblGrid>
        <w:gridCol w:w="3006"/>
        <w:gridCol w:w="1100"/>
        <w:gridCol w:w="4910"/>
      </w:tblGrid>
      <w:tr w:rsidR="00F30E47" w14:paraId="28C1CC25" w14:textId="77777777" w:rsidTr="005A5D01">
        <w:tc>
          <w:tcPr>
            <w:tcW w:w="3006" w:type="dxa"/>
          </w:tcPr>
          <w:p w14:paraId="40A38BCE" w14:textId="10533F18" w:rsidR="00F30E47" w:rsidRDefault="00F30E47" w:rsidP="001F7BAF">
            <w:r w:rsidRPr="00835CEB">
              <w:rPr>
                <w:sz w:val="16"/>
                <w:szCs w:val="14"/>
              </w:rPr>
              <w:t>Oslovení aktéři z řad zástupců institucí poskytující psychiatrickou</w:t>
            </w:r>
            <w:r>
              <w:rPr>
                <w:sz w:val="16"/>
                <w:szCs w:val="14"/>
              </w:rPr>
              <w:t xml:space="preserve"> péči uvádějí pravděpodobnost, že péče bude v současné podobě realizována i v následujících pěti letech (vysoce pravděpodobné, spíše pravděpodobné, spíše nepravděpodobné, velmi nepravděpodobné).</w:t>
            </w:r>
          </w:p>
        </w:tc>
        <w:tc>
          <w:tcPr>
            <w:tcW w:w="1100" w:type="dxa"/>
          </w:tcPr>
          <w:p w14:paraId="3950B224" w14:textId="0BEBF2C5" w:rsidR="00F30E47" w:rsidRDefault="00F30E47" w:rsidP="001F7BAF">
            <w:r>
              <w:t>A3.3.12 A3.3.13</w:t>
            </w:r>
          </w:p>
        </w:tc>
        <w:tc>
          <w:tcPr>
            <w:tcW w:w="4910" w:type="dxa"/>
          </w:tcPr>
          <w:p w14:paraId="5D372CE2" w14:textId="2F580E98" w:rsidR="00F30E47" w:rsidRDefault="00411489" w:rsidP="001F7BAF">
            <w:r>
              <w:t xml:space="preserve">Je vysoce pravděpodobné, že péče bude ve stejné nebo větší šíři poskytována i po skončení doby udržitelnosti. </w:t>
            </w:r>
            <w:r w:rsidRPr="009B3346">
              <w:t>Městský úřad Hořice</w:t>
            </w:r>
            <w:r>
              <w:t xml:space="preserve"> je vlastníkem budovy a </w:t>
            </w:r>
            <w:r w:rsidR="00FF3F44">
              <w:t>předpokládá, že spolupráce s organizací Naše ulita bude i nadále pokračovat. Organizace Naše ulita působí v regionu dlouhodobě</w:t>
            </w:r>
            <w:r w:rsidR="00E31B57">
              <w:t>, o její služby je velký zájem a má plány na rozšíření stávajícího portfolia služeb.</w:t>
            </w:r>
          </w:p>
        </w:tc>
      </w:tr>
      <w:tr w:rsidR="00F30E47" w14:paraId="3B7638CD" w14:textId="77777777" w:rsidTr="005A5D01">
        <w:tc>
          <w:tcPr>
            <w:tcW w:w="3006" w:type="dxa"/>
          </w:tcPr>
          <w:p w14:paraId="38DCD39D" w14:textId="77777777" w:rsidR="00F30E47" w:rsidRDefault="00F30E47" w:rsidP="00F30E47">
            <w:pPr>
              <w:spacing w:after="120"/>
              <w:rPr>
                <w:sz w:val="16"/>
                <w:szCs w:val="14"/>
              </w:rPr>
            </w:pPr>
            <w:r>
              <w:rPr>
                <w:sz w:val="16"/>
                <w:szCs w:val="14"/>
              </w:rPr>
              <w:t xml:space="preserve">Oslovení </w:t>
            </w:r>
            <w:r w:rsidRPr="00271BCA">
              <w:rPr>
                <w:sz w:val="16"/>
                <w:szCs w:val="14"/>
              </w:rPr>
              <w:t>aktéři z řad zástupců institucí poskytující psychiatrickou péči uvádějí</w:t>
            </w:r>
            <w:r>
              <w:rPr>
                <w:sz w:val="16"/>
                <w:szCs w:val="14"/>
              </w:rPr>
              <w:t>, jaké podmínky v níže uvedených aspektech musí být naplněny, aby podpora byla v následujících pěti letech poskytována v minimálně stejné kvalitě jako nyní. Jde o oblasti:</w:t>
            </w:r>
          </w:p>
          <w:p w14:paraId="0AAF1152"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Legislativní</w:t>
            </w:r>
          </w:p>
          <w:p w14:paraId="79381DC0"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Finanční</w:t>
            </w:r>
          </w:p>
          <w:p w14:paraId="78DA39F8"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Personální</w:t>
            </w:r>
          </w:p>
          <w:p w14:paraId="45951467" w14:textId="77777777" w:rsidR="00F30E47" w:rsidRDefault="00F30E47" w:rsidP="00F30E47">
            <w:pPr>
              <w:pStyle w:val="Odstavecseseznamem"/>
              <w:numPr>
                <w:ilvl w:val="0"/>
                <w:numId w:val="2"/>
              </w:numPr>
              <w:spacing w:after="120" w:line="240" w:lineRule="atLeast"/>
              <w:ind w:left="207" w:hanging="218"/>
              <w:rPr>
                <w:sz w:val="16"/>
                <w:szCs w:val="14"/>
              </w:rPr>
            </w:pPr>
            <w:r>
              <w:rPr>
                <w:sz w:val="16"/>
                <w:szCs w:val="14"/>
              </w:rPr>
              <w:t>Organizační</w:t>
            </w:r>
          </w:p>
          <w:p w14:paraId="2DC16C74" w14:textId="6F55D084" w:rsidR="00F30E47" w:rsidRPr="00F30E47" w:rsidRDefault="00F30E47" w:rsidP="00F30E47">
            <w:pPr>
              <w:pStyle w:val="Odstavecseseznamem"/>
              <w:numPr>
                <w:ilvl w:val="0"/>
                <w:numId w:val="2"/>
              </w:numPr>
              <w:spacing w:after="120" w:line="240" w:lineRule="atLeast"/>
              <w:ind w:left="207" w:hanging="218"/>
              <w:rPr>
                <w:sz w:val="16"/>
                <w:szCs w:val="14"/>
              </w:rPr>
            </w:pPr>
            <w:r>
              <w:rPr>
                <w:sz w:val="16"/>
                <w:szCs w:val="14"/>
              </w:rPr>
              <w:t>Ostatní</w:t>
            </w:r>
          </w:p>
        </w:tc>
        <w:tc>
          <w:tcPr>
            <w:tcW w:w="1100" w:type="dxa"/>
          </w:tcPr>
          <w:p w14:paraId="046BF7D8" w14:textId="75CD31A6" w:rsidR="00F30E47" w:rsidRDefault="00F30E47" w:rsidP="001F7BAF">
            <w:r>
              <w:t>A3.3.12 A3.3.13</w:t>
            </w:r>
          </w:p>
        </w:tc>
        <w:tc>
          <w:tcPr>
            <w:tcW w:w="4910" w:type="dxa"/>
          </w:tcPr>
          <w:p w14:paraId="706A5CC7" w14:textId="5B4AE616" w:rsidR="00F30E47" w:rsidRDefault="00F04574" w:rsidP="001F7BAF">
            <w:r>
              <w:t>Legislativní podmínky jsou stabilní (dlouhodobá nájemní smlouva</w:t>
            </w:r>
            <w:r w:rsidR="00F0758E">
              <w:t xml:space="preserve"> s městem Hořice</w:t>
            </w:r>
            <w:r>
              <w:t>).</w:t>
            </w:r>
            <w:r w:rsidR="00F0758E">
              <w:t xml:space="preserve"> Finanční zajištění je dáno typem služeb jejich pokrytím z pojištění. Personálně má poskytovatel služeb dlouhodobě stabilní </w:t>
            </w:r>
            <w:r w:rsidR="007A0DF0">
              <w:t xml:space="preserve">a kompletní </w:t>
            </w:r>
            <w:r w:rsidR="00F0758E">
              <w:t>tým</w:t>
            </w:r>
            <w:r w:rsidR="007A0DF0">
              <w:t xml:space="preserve">. </w:t>
            </w:r>
          </w:p>
        </w:tc>
      </w:tr>
    </w:tbl>
    <w:p w14:paraId="7AE1B9D8" w14:textId="77777777" w:rsidR="00F507F0" w:rsidRPr="00F507F0" w:rsidRDefault="00F507F0" w:rsidP="00F507F0"/>
    <w:p w14:paraId="507D34E5" w14:textId="6A2E44E2" w:rsidR="00B411F8" w:rsidRDefault="00B411F8" w:rsidP="00B411F8">
      <w:pPr>
        <w:pStyle w:val="Nadpis2"/>
      </w:pPr>
      <w:r>
        <w:t>Kazuistiky</w:t>
      </w:r>
    </w:p>
    <w:p w14:paraId="2EE316D1" w14:textId="2B57C16F" w:rsidR="00B411F8" w:rsidRDefault="00B411F8" w:rsidP="00B411F8">
      <w:r>
        <w:t xml:space="preserve">Má příjemce k dispozici kazuistiky či </w:t>
      </w:r>
      <w:r w:rsidR="00913314">
        <w:t xml:space="preserve">něco obdobného (tzn. jde o anonymizovaný příběh pacienta, který byl přes instituci podpořen): </w:t>
      </w:r>
      <w:r w:rsidR="00913314" w:rsidRPr="007A0DF0">
        <w:rPr>
          <w:strike/>
        </w:rPr>
        <w:t>ANO /</w:t>
      </w:r>
      <w:r w:rsidR="00913314">
        <w:t xml:space="preserve"> NE </w:t>
      </w:r>
      <w:r w:rsidR="00913314" w:rsidRPr="007A0DF0">
        <w:rPr>
          <w:strike/>
        </w:rPr>
        <w:t>/ NEBYLO ZJIŠTĚNO</w:t>
      </w:r>
    </w:p>
    <w:p w14:paraId="67845401" w14:textId="6C76201D" w:rsidR="00B411F8" w:rsidRDefault="007A0DF0" w:rsidP="00B411F8">
      <w:r>
        <w:t xml:space="preserve">Příjemce nemá k dispozici kazuistiky a </w:t>
      </w:r>
      <w:r w:rsidR="001C64D5">
        <w:t>s ohledem na typ a rozsah služby si přeje zachovat pro pacienty plnou anonymitu.</w:t>
      </w:r>
    </w:p>
    <w:p w14:paraId="14BF85A5" w14:textId="5E49CE53" w:rsidR="7FF4B22D" w:rsidRDefault="00B411F8" w:rsidP="00B411F8">
      <w:pPr>
        <w:pStyle w:val="Nadpis2"/>
      </w:pPr>
      <w:r>
        <w:t>Závěrečné shrnutí</w:t>
      </w:r>
    </w:p>
    <w:tbl>
      <w:tblPr>
        <w:tblStyle w:val="Mkatabulky"/>
        <w:tblW w:w="0" w:type="auto"/>
        <w:tblLook w:val="04A0" w:firstRow="1" w:lastRow="0" w:firstColumn="1" w:lastColumn="0" w:noHBand="0" w:noVBand="1"/>
      </w:tblPr>
      <w:tblGrid>
        <w:gridCol w:w="3005"/>
        <w:gridCol w:w="1243"/>
        <w:gridCol w:w="4768"/>
      </w:tblGrid>
      <w:tr w:rsidR="00913314" w14:paraId="068D57E4" w14:textId="77777777" w:rsidTr="281E53D9">
        <w:tc>
          <w:tcPr>
            <w:tcW w:w="3005" w:type="dxa"/>
          </w:tcPr>
          <w:p w14:paraId="6E9FF432" w14:textId="5D8C7107" w:rsidR="00913314" w:rsidRDefault="00913314" w:rsidP="00913314">
            <w:r>
              <w:t>Je v PS doloženo zlepšení informovanosti o komunitních psychiatrických službách v regionu?</w:t>
            </w:r>
          </w:p>
        </w:tc>
        <w:sdt>
          <w:sdtPr>
            <w:rPr>
              <w:b/>
              <w:bCs/>
            </w:rPr>
            <w:id w:val="1873880704"/>
            <w14:checkbox>
              <w14:checked w14:val="1"/>
              <w14:checkedState w14:val="2612" w14:font="MS Gothic"/>
              <w14:uncheckedState w14:val="2610" w14:font="MS Gothic"/>
            </w14:checkbox>
          </w:sdtPr>
          <w:sdtContent>
            <w:tc>
              <w:tcPr>
                <w:tcW w:w="1243" w:type="dxa"/>
              </w:tcPr>
              <w:p w14:paraId="0968193B" w14:textId="3F449AAB" w:rsidR="00913314" w:rsidRDefault="001C64D5" w:rsidP="00913314">
                <w:r>
                  <w:rPr>
                    <w:rFonts w:ascii="MS Gothic" w:eastAsia="MS Gothic" w:hAnsi="MS Gothic" w:hint="eastAsia"/>
                    <w:b/>
                    <w:bCs/>
                  </w:rPr>
                  <w:t>☒</w:t>
                </w:r>
              </w:p>
            </w:tc>
          </w:sdtContent>
        </w:sdt>
        <w:tc>
          <w:tcPr>
            <w:tcW w:w="4768" w:type="dxa"/>
          </w:tcPr>
          <w:p w14:paraId="6E15F761" w14:textId="010F25FA" w:rsidR="00913314" w:rsidRDefault="0076259B" w:rsidP="00913314">
            <w:r>
              <w:t>Komentář:</w:t>
            </w:r>
            <w:r w:rsidR="00AC058F">
              <w:t xml:space="preserve"> Pravidelná propagace služeb</w:t>
            </w:r>
            <w:r w:rsidR="001C64D5">
              <w:t xml:space="preserve"> </w:t>
            </w:r>
            <w:r w:rsidR="007B45E7">
              <w:t xml:space="preserve">je organizována </w:t>
            </w:r>
            <w:r w:rsidR="001C64D5">
              <w:t>městem (není ale přímo navázáno na projekt)</w:t>
            </w:r>
            <w:r w:rsidR="007B45E7">
              <w:t>.</w:t>
            </w:r>
            <w:r w:rsidR="00673D64">
              <w:t xml:space="preserve"> Zároveň zaměstnanci města v příslušných odborech mají informace o poskytovatelích služeb v regionu a na vyžádání či v případě potřeby je jsou připraveni sdílet.</w:t>
            </w:r>
            <w:r w:rsidR="00396236">
              <w:t xml:space="preserve"> </w:t>
            </w:r>
            <w:r w:rsidR="00F46B30">
              <w:t>Ve městě je nově také sociální pracovník pro oblast školství, který s organizací spolupracuje.</w:t>
            </w:r>
            <w:r w:rsidR="007B45E7">
              <w:t xml:space="preserve"> Organizace Naše ulita </w:t>
            </w:r>
            <w:r w:rsidR="00EB126C">
              <w:t>pořádá ve městě pravidelné přednášky pro veřejnost o vztahu dětí k sociálním sítím, sebepoškozování, návykových látkách nebo kognitivních poruchách.</w:t>
            </w:r>
          </w:p>
          <w:p w14:paraId="799C91AB" w14:textId="211A417A" w:rsidR="007B45E7" w:rsidRDefault="007B45E7" w:rsidP="00913314"/>
        </w:tc>
      </w:tr>
      <w:tr w:rsidR="00913314" w14:paraId="1649333B" w14:textId="77777777" w:rsidTr="281E53D9">
        <w:tc>
          <w:tcPr>
            <w:tcW w:w="3005" w:type="dxa"/>
          </w:tcPr>
          <w:p w14:paraId="77718896" w14:textId="72BFBD52" w:rsidR="00913314" w:rsidRDefault="00913314" w:rsidP="00913314">
            <w:r>
              <w:t>Projevila se v PS změna v šíři alternativ, které mají pacienty v oblasti psychiatrické péče v regionu?</w:t>
            </w:r>
          </w:p>
        </w:tc>
        <w:sdt>
          <w:sdtPr>
            <w:rPr>
              <w:b/>
              <w:bCs/>
            </w:rPr>
            <w:id w:val="-1022782112"/>
            <w14:checkbox>
              <w14:checked w14:val="1"/>
              <w14:checkedState w14:val="2612" w14:font="MS Gothic"/>
              <w14:uncheckedState w14:val="2610" w14:font="MS Gothic"/>
            </w14:checkbox>
          </w:sdtPr>
          <w:sdtContent>
            <w:tc>
              <w:tcPr>
                <w:tcW w:w="1243" w:type="dxa"/>
              </w:tcPr>
              <w:p w14:paraId="5991DCA0" w14:textId="6F50E45F" w:rsidR="00913314" w:rsidRDefault="001C64D5" w:rsidP="00913314">
                <w:r>
                  <w:rPr>
                    <w:rFonts w:ascii="MS Gothic" w:eastAsia="MS Gothic" w:hAnsi="MS Gothic" w:hint="eastAsia"/>
                    <w:b/>
                    <w:bCs/>
                  </w:rPr>
                  <w:t>☒</w:t>
                </w:r>
              </w:p>
            </w:tc>
          </w:sdtContent>
        </w:sdt>
        <w:tc>
          <w:tcPr>
            <w:tcW w:w="4768" w:type="dxa"/>
          </w:tcPr>
          <w:p w14:paraId="4BC9C2F6" w14:textId="70758474" w:rsidR="00913314" w:rsidRDefault="0076259B" w:rsidP="00913314">
            <w:r>
              <w:t>Komentář:</w:t>
            </w:r>
            <w:r w:rsidR="001C64D5">
              <w:t xml:space="preserve"> Částečně ano v souvislosti s rozšířením </w:t>
            </w:r>
            <w:r w:rsidR="0028096D">
              <w:t>sociální podpory.</w:t>
            </w:r>
          </w:p>
        </w:tc>
      </w:tr>
      <w:tr w:rsidR="00913314" w14:paraId="30F884EE" w14:textId="77777777" w:rsidTr="281E53D9">
        <w:tc>
          <w:tcPr>
            <w:tcW w:w="3005" w:type="dxa"/>
          </w:tcPr>
          <w:p w14:paraId="113F2C70" w14:textId="0A75099A" w:rsidR="00913314" w:rsidRDefault="00913314" w:rsidP="00913314">
            <w:r>
              <w:t>Změnil</w:t>
            </w:r>
            <w:r w:rsidR="0076259B">
              <w:t>a</w:t>
            </w:r>
            <w:r>
              <w:t xml:space="preserve"> se dlouhodobá organizace/léčebný postup instituce v návaznosti na</w:t>
            </w:r>
            <w:r w:rsidR="0076259B">
              <w:t xml:space="preserve"> projekt</w:t>
            </w:r>
            <w:r>
              <w:t xml:space="preserve"> IROP?</w:t>
            </w:r>
          </w:p>
        </w:tc>
        <w:sdt>
          <w:sdtPr>
            <w:rPr>
              <w:b/>
              <w:bCs/>
            </w:rPr>
            <w:id w:val="-1218516969"/>
            <w14:checkbox>
              <w14:checked w14:val="0"/>
              <w14:checkedState w14:val="2612" w14:font="MS Gothic"/>
              <w14:uncheckedState w14:val="2610" w14:font="MS Gothic"/>
            </w14:checkbox>
          </w:sdtPr>
          <w:sdtContent>
            <w:tc>
              <w:tcPr>
                <w:tcW w:w="1243" w:type="dxa"/>
              </w:tcPr>
              <w:p w14:paraId="3F987B89" w14:textId="166C487C" w:rsidR="00913314" w:rsidRDefault="0076259B" w:rsidP="00913314">
                <w:r>
                  <w:rPr>
                    <w:rFonts w:ascii="MS Gothic" w:eastAsia="MS Gothic" w:hAnsi="MS Gothic" w:hint="eastAsia"/>
                    <w:b/>
                    <w:bCs/>
                  </w:rPr>
                  <w:t>☐</w:t>
                </w:r>
              </w:p>
            </w:tc>
          </w:sdtContent>
        </w:sdt>
        <w:tc>
          <w:tcPr>
            <w:tcW w:w="4768" w:type="dxa"/>
          </w:tcPr>
          <w:p w14:paraId="57C80F1C" w14:textId="01312B4B" w:rsidR="00913314" w:rsidRDefault="0076259B" w:rsidP="00913314">
            <w:r>
              <w:t>Komentář:</w:t>
            </w:r>
            <w:r w:rsidR="0028096D">
              <w:t xml:space="preserve"> Spíše ne (není doloženo).</w:t>
            </w:r>
          </w:p>
        </w:tc>
      </w:tr>
      <w:tr w:rsidR="00913314" w14:paraId="4BD0AB4C" w14:textId="77777777" w:rsidTr="281E53D9">
        <w:tc>
          <w:tcPr>
            <w:tcW w:w="3005" w:type="dxa"/>
          </w:tcPr>
          <w:p w14:paraId="49107D8B" w14:textId="32542569" w:rsidR="00913314" w:rsidRDefault="0076259B" w:rsidP="00913314">
            <w:r>
              <w:t>Byly naplněny očekávané dopady, které si od projektu instituce slibovala?</w:t>
            </w:r>
          </w:p>
        </w:tc>
        <w:sdt>
          <w:sdtPr>
            <w:rPr>
              <w:b/>
              <w:bCs/>
            </w:rPr>
            <w:id w:val="-1505051882"/>
            <w14:checkbox>
              <w14:checked w14:val="0"/>
              <w14:checkedState w14:val="2612" w14:font="MS Gothic"/>
              <w14:uncheckedState w14:val="2610" w14:font="MS Gothic"/>
            </w14:checkbox>
          </w:sdtPr>
          <w:sdtContent>
            <w:tc>
              <w:tcPr>
                <w:tcW w:w="1243" w:type="dxa"/>
              </w:tcPr>
              <w:p w14:paraId="18AD2A98" w14:textId="12E8C4F4" w:rsidR="00913314" w:rsidRDefault="00E92C1C" w:rsidP="00913314">
                <w:r>
                  <w:rPr>
                    <w:rFonts w:ascii="MS Gothic" w:eastAsia="MS Gothic" w:hAnsi="MS Gothic" w:hint="eastAsia"/>
                    <w:b/>
                    <w:bCs/>
                  </w:rPr>
                  <w:t>☐</w:t>
                </w:r>
              </w:p>
            </w:tc>
          </w:sdtContent>
        </w:sdt>
        <w:tc>
          <w:tcPr>
            <w:tcW w:w="4768" w:type="dxa"/>
          </w:tcPr>
          <w:p w14:paraId="4647CEAD" w14:textId="4F268E43" w:rsidR="00913314" w:rsidRDefault="0076259B" w:rsidP="00913314">
            <w:r>
              <w:t>Komentář:</w:t>
            </w:r>
            <w:r w:rsidR="0028096D">
              <w:t xml:space="preserve"> Ano</w:t>
            </w:r>
          </w:p>
        </w:tc>
      </w:tr>
      <w:tr w:rsidR="00913314" w14:paraId="6F331756" w14:textId="77777777" w:rsidTr="281E53D9">
        <w:tc>
          <w:tcPr>
            <w:tcW w:w="3005" w:type="dxa"/>
          </w:tcPr>
          <w:p w14:paraId="1F486465" w14:textId="107E267A" w:rsidR="00913314" w:rsidRDefault="0076259B" w:rsidP="00913314">
            <w:r>
              <w:t>Je aktivita podpořena z projektu IROP zajištěna i po projektu?</w:t>
            </w:r>
          </w:p>
        </w:tc>
        <w:sdt>
          <w:sdtPr>
            <w:rPr>
              <w:b/>
              <w:bCs/>
            </w:rPr>
            <w:id w:val="-1650970276"/>
            <w14:checkbox>
              <w14:checked w14:val="0"/>
              <w14:checkedState w14:val="2612" w14:font="MS Gothic"/>
              <w14:uncheckedState w14:val="2610" w14:font="MS Gothic"/>
            </w14:checkbox>
          </w:sdtPr>
          <w:sdtContent>
            <w:tc>
              <w:tcPr>
                <w:tcW w:w="1243" w:type="dxa"/>
              </w:tcPr>
              <w:p w14:paraId="37402BBE" w14:textId="3CC962F0" w:rsidR="00913314" w:rsidRDefault="00E92C1C" w:rsidP="00913314">
                <w:r>
                  <w:rPr>
                    <w:rFonts w:ascii="MS Gothic" w:eastAsia="MS Gothic" w:hAnsi="MS Gothic" w:hint="eastAsia"/>
                    <w:b/>
                    <w:bCs/>
                  </w:rPr>
                  <w:t>☐</w:t>
                </w:r>
              </w:p>
            </w:tc>
          </w:sdtContent>
        </w:sdt>
        <w:tc>
          <w:tcPr>
            <w:tcW w:w="4768" w:type="dxa"/>
          </w:tcPr>
          <w:p w14:paraId="33DAE294" w14:textId="51E0551B" w:rsidR="00913314" w:rsidRDefault="0076259B" w:rsidP="00913314">
            <w:r>
              <w:t>Komentář:</w:t>
            </w:r>
            <w:r w:rsidR="0028096D">
              <w:t xml:space="preserve"> Ano (viz udr</w:t>
            </w:r>
            <w:r w:rsidR="002C11A5">
              <w:t>žitelnost)</w:t>
            </w:r>
          </w:p>
        </w:tc>
      </w:tr>
      <w:tr w:rsidR="281E53D9" w14:paraId="145C4FA0" w14:textId="77777777" w:rsidTr="281E53D9">
        <w:trPr>
          <w:trHeight w:val="300"/>
        </w:trPr>
        <w:tc>
          <w:tcPr>
            <w:tcW w:w="3005" w:type="dxa"/>
          </w:tcPr>
          <w:p w14:paraId="717FC6B3" w14:textId="4EAD0CB9" w:rsidR="26FB62C5" w:rsidRDefault="26FB62C5" w:rsidP="281E53D9">
            <w:r>
              <w:t xml:space="preserve">Dopad projektu na vývoj v instituci je z PS jasně patrný (PS dokládá kauzální souvislost mezi </w:t>
            </w:r>
            <w:r>
              <w:lastRenderedPageBreak/>
              <w:t>projektem a klíčovými pozitivními změnami v rozvoji psychiatrické péče)?</w:t>
            </w:r>
          </w:p>
        </w:tc>
        <w:tc>
          <w:tcPr>
            <w:tcW w:w="1243" w:type="dxa"/>
          </w:tcPr>
          <w:sdt>
            <w:sdtPr>
              <w:rPr>
                <w:b/>
                <w:bCs/>
              </w:rPr>
              <w:id w:val="1863383808"/>
              <w14:checkbox>
                <w14:checked w14:val="1"/>
                <w14:checkedState w14:val="2612" w14:font="MS Gothic"/>
                <w14:uncheckedState w14:val="2610" w14:font="MS Gothic"/>
              </w14:checkbox>
            </w:sdtPr>
            <w:sdtContent>
              <w:p w14:paraId="3C7B3184" w14:textId="459ABAEF" w:rsidR="7B4F54B5" w:rsidRDefault="002C11A5">
                <w:r>
                  <w:rPr>
                    <w:rFonts w:ascii="MS Gothic" w:eastAsia="MS Gothic" w:hAnsi="MS Gothic" w:hint="eastAsia"/>
                    <w:b/>
                    <w:bCs/>
                  </w:rPr>
                  <w:t>☒</w:t>
                </w:r>
              </w:p>
            </w:sdtContent>
          </w:sdt>
          <w:p w14:paraId="68E7744C" w14:textId="3F1E04EC" w:rsidR="281E53D9" w:rsidRDefault="281E53D9" w:rsidP="281E53D9">
            <w:pPr>
              <w:rPr>
                <w:rFonts w:ascii="MS Gothic" w:eastAsia="MS Gothic" w:hAnsi="MS Gothic"/>
                <w:b/>
                <w:bCs/>
              </w:rPr>
            </w:pPr>
          </w:p>
        </w:tc>
        <w:tc>
          <w:tcPr>
            <w:tcW w:w="4768" w:type="dxa"/>
          </w:tcPr>
          <w:p w14:paraId="33F2BD51" w14:textId="77777777" w:rsidR="7B4F54B5" w:rsidRDefault="7B4F54B5" w:rsidP="281E53D9">
            <w:r>
              <w:t>Komentář:</w:t>
            </w:r>
            <w:r w:rsidR="002C11A5">
              <w:t xml:space="preserve"> Projekt je pro kvalitu a možnosti zajištění dlouhodobě dostupné psychiatrické péče v regionu zásadní.</w:t>
            </w:r>
          </w:p>
          <w:p w14:paraId="77EF030A" w14:textId="605DBE41" w:rsidR="00C3764F" w:rsidRDefault="00C75509" w:rsidP="281E53D9">
            <w:r>
              <w:lastRenderedPageBreak/>
              <w:t xml:space="preserve">Díky projektu byla podpořena moderní psychiatrická praxe splňující kritéria reformy </w:t>
            </w:r>
            <w:r w:rsidR="006909E1">
              <w:t>psychiatrické péče s individualizovaným přístupem k pacientovi s možností následné péče</w:t>
            </w:r>
            <w:r w:rsidR="00422C17">
              <w:t xml:space="preserve"> po akutní fázi onemocnění, s pomocí návratu do běžného života v procesu </w:t>
            </w:r>
            <w:proofErr w:type="spellStart"/>
            <w:r w:rsidR="00422C17">
              <w:t>destigmatizace</w:t>
            </w:r>
            <w:proofErr w:type="spellEnd"/>
            <w:r w:rsidR="00422C17">
              <w:t xml:space="preserve"> a vytvoření bezpečného prostředí</w:t>
            </w:r>
            <w:r w:rsidR="007B45E7">
              <w:t xml:space="preserve"> s nabídkou podpůrných služeb v rámci sociální rehabilitace.</w:t>
            </w:r>
          </w:p>
        </w:tc>
      </w:tr>
    </w:tbl>
    <w:p w14:paraId="06D12EE1" w14:textId="30ABD1C5" w:rsidR="7FF4B22D" w:rsidRDefault="7FF4B22D" w:rsidP="7FF4B22D"/>
    <w:sectPr w:rsidR="7FF4B2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41E0C"/>
    <w:multiLevelType w:val="hybridMultilevel"/>
    <w:tmpl w:val="EEAA9A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516304"/>
    <w:multiLevelType w:val="hybridMultilevel"/>
    <w:tmpl w:val="BEB49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57F49"/>
    <w:multiLevelType w:val="hybridMultilevel"/>
    <w:tmpl w:val="0C1AB8D4"/>
    <w:lvl w:ilvl="0" w:tplc="176E3FA2">
      <w:start w:val="1"/>
      <w:numFmt w:val="upperLetter"/>
      <w:lvlText w:val="%1."/>
      <w:lvlJc w:val="left"/>
      <w:pPr>
        <w:ind w:left="720" w:hanging="360"/>
      </w:pPr>
    </w:lvl>
    <w:lvl w:ilvl="1" w:tplc="AC722948">
      <w:start w:val="1"/>
      <w:numFmt w:val="lowerLetter"/>
      <w:lvlText w:val="%2."/>
      <w:lvlJc w:val="left"/>
      <w:pPr>
        <w:ind w:left="1440" w:hanging="360"/>
      </w:pPr>
    </w:lvl>
    <w:lvl w:ilvl="2" w:tplc="10DC4CC6">
      <w:start w:val="1"/>
      <w:numFmt w:val="lowerRoman"/>
      <w:lvlText w:val="%3."/>
      <w:lvlJc w:val="right"/>
      <w:pPr>
        <w:ind w:left="2160" w:hanging="180"/>
      </w:pPr>
    </w:lvl>
    <w:lvl w:ilvl="3" w:tplc="D90A1380">
      <w:start w:val="1"/>
      <w:numFmt w:val="decimal"/>
      <w:lvlText w:val="%4."/>
      <w:lvlJc w:val="left"/>
      <w:pPr>
        <w:ind w:left="2880" w:hanging="360"/>
      </w:pPr>
    </w:lvl>
    <w:lvl w:ilvl="4" w:tplc="61FC76C0">
      <w:start w:val="1"/>
      <w:numFmt w:val="lowerLetter"/>
      <w:lvlText w:val="%5."/>
      <w:lvlJc w:val="left"/>
      <w:pPr>
        <w:ind w:left="3600" w:hanging="360"/>
      </w:pPr>
    </w:lvl>
    <w:lvl w:ilvl="5" w:tplc="0F1C14AC">
      <w:start w:val="1"/>
      <w:numFmt w:val="lowerRoman"/>
      <w:lvlText w:val="%6."/>
      <w:lvlJc w:val="right"/>
      <w:pPr>
        <w:ind w:left="4320" w:hanging="180"/>
      </w:pPr>
    </w:lvl>
    <w:lvl w:ilvl="6" w:tplc="63FE7B08">
      <w:start w:val="1"/>
      <w:numFmt w:val="decimal"/>
      <w:lvlText w:val="%7."/>
      <w:lvlJc w:val="left"/>
      <w:pPr>
        <w:ind w:left="5040" w:hanging="360"/>
      </w:pPr>
    </w:lvl>
    <w:lvl w:ilvl="7" w:tplc="65E0BFE8">
      <w:start w:val="1"/>
      <w:numFmt w:val="lowerLetter"/>
      <w:lvlText w:val="%8."/>
      <w:lvlJc w:val="left"/>
      <w:pPr>
        <w:ind w:left="5760" w:hanging="360"/>
      </w:pPr>
    </w:lvl>
    <w:lvl w:ilvl="8" w:tplc="97BC8270">
      <w:start w:val="1"/>
      <w:numFmt w:val="lowerRoman"/>
      <w:lvlText w:val="%9."/>
      <w:lvlJc w:val="right"/>
      <w:pPr>
        <w:ind w:left="6480" w:hanging="180"/>
      </w:pPr>
    </w:lvl>
  </w:abstractNum>
  <w:abstractNum w:abstractNumId="3" w15:restartNumberingAfterBreak="0">
    <w:nsid w:val="4DA44DC1"/>
    <w:multiLevelType w:val="hybridMultilevel"/>
    <w:tmpl w:val="72243BE6"/>
    <w:lvl w:ilvl="0" w:tplc="29F88C52">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89553784">
    <w:abstractNumId w:val="2"/>
  </w:num>
  <w:num w:numId="2" w16cid:durableId="994142837">
    <w:abstractNumId w:val="3"/>
  </w:num>
  <w:num w:numId="3" w16cid:durableId="681009254">
    <w:abstractNumId w:val="0"/>
  </w:num>
  <w:num w:numId="4" w16cid:durableId="66390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9DDDA0"/>
    <w:rsid w:val="000514BD"/>
    <w:rsid w:val="00085B36"/>
    <w:rsid w:val="0009066D"/>
    <w:rsid w:val="00091F75"/>
    <w:rsid w:val="00095D76"/>
    <w:rsid w:val="00096BEB"/>
    <w:rsid w:val="000B4984"/>
    <w:rsid w:val="0014035F"/>
    <w:rsid w:val="00161EEC"/>
    <w:rsid w:val="00175BDC"/>
    <w:rsid w:val="001A2B03"/>
    <w:rsid w:val="001C64D5"/>
    <w:rsid w:val="001D6DBE"/>
    <w:rsid w:val="001E1A8B"/>
    <w:rsid w:val="001F563D"/>
    <w:rsid w:val="00206733"/>
    <w:rsid w:val="00220F52"/>
    <w:rsid w:val="00274E2E"/>
    <w:rsid w:val="0028096D"/>
    <w:rsid w:val="002B3F70"/>
    <w:rsid w:val="002C11A5"/>
    <w:rsid w:val="002C63BD"/>
    <w:rsid w:val="002D100F"/>
    <w:rsid w:val="002E188B"/>
    <w:rsid w:val="00336CCC"/>
    <w:rsid w:val="00345A9B"/>
    <w:rsid w:val="0036541A"/>
    <w:rsid w:val="00396236"/>
    <w:rsid w:val="003A3E55"/>
    <w:rsid w:val="003B0154"/>
    <w:rsid w:val="003D367D"/>
    <w:rsid w:val="00411489"/>
    <w:rsid w:val="004147E6"/>
    <w:rsid w:val="00422C17"/>
    <w:rsid w:val="00440C78"/>
    <w:rsid w:val="00450A08"/>
    <w:rsid w:val="00450FE4"/>
    <w:rsid w:val="00481BB6"/>
    <w:rsid w:val="004B47CA"/>
    <w:rsid w:val="004C2688"/>
    <w:rsid w:val="004E2F6D"/>
    <w:rsid w:val="005459B5"/>
    <w:rsid w:val="00582FC3"/>
    <w:rsid w:val="0058634A"/>
    <w:rsid w:val="005A5D01"/>
    <w:rsid w:val="005B6DC1"/>
    <w:rsid w:val="005D68CB"/>
    <w:rsid w:val="005E6A62"/>
    <w:rsid w:val="00614FEA"/>
    <w:rsid w:val="00656BAD"/>
    <w:rsid w:val="00673D64"/>
    <w:rsid w:val="006852EA"/>
    <w:rsid w:val="006877D2"/>
    <w:rsid w:val="006909E1"/>
    <w:rsid w:val="00690C7D"/>
    <w:rsid w:val="006B2D56"/>
    <w:rsid w:val="006F4A91"/>
    <w:rsid w:val="00703647"/>
    <w:rsid w:val="007353F4"/>
    <w:rsid w:val="007407AE"/>
    <w:rsid w:val="0076259B"/>
    <w:rsid w:val="007642CB"/>
    <w:rsid w:val="00775500"/>
    <w:rsid w:val="00797975"/>
    <w:rsid w:val="007A0DF0"/>
    <w:rsid w:val="007A0E1B"/>
    <w:rsid w:val="007B45E7"/>
    <w:rsid w:val="00835AF8"/>
    <w:rsid w:val="00844BC5"/>
    <w:rsid w:val="00860F2E"/>
    <w:rsid w:val="008638C2"/>
    <w:rsid w:val="00872E43"/>
    <w:rsid w:val="00883EF3"/>
    <w:rsid w:val="008932C5"/>
    <w:rsid w:val="008A6D0A"/>
    <w:rsid w:val="008C61B5"/>
    <w:rsid w:val="0091327E"/>
    <w:rsid w:val="00913314"/>
    <w:rsid w:val="00926811"/>
    <w:rsid w:val="00945B22"/>
    <w:rsid w:val="00953321"/>
    <w:rsid w:val="00957655"/>
    <w:rsid w:val="00982EC9"/>
    <w:rsid w:val="00984E51"/>
    <w:rsid w:val="009B3346"/>
    <w:rsid w:val="009D0366"/>
    <w:rsid w:val="009F1EAE"/>
    <w:rsid w:val="009F566D"/>
    <w:rsid w:val="00A12534"/>
    <w:rsid w:val="00AB6E53"/>
    <w:rsid w:val="00AC058F"/>
    <w:rsid w:val="00AC1E3F"/>
    <w:rsid w:val="00AD021C"/>
    <w:rsid w:val="00B051DD"/>
    <w:rsid w:val="00B411F8"/>
    <w:rsid w:val="00B64EA2"/>
    <w:rsid w:val="00B73CFE"/>
    <w:rsid w:val="00B87A9D"/>
    <w:rsid w:val="00BA69C6"/>
    <w:rsid w:val="00BC7EAC"/>
    <w:rsid w:val="00BD6EB7"/>
    <w:rsid w:val="00C04200"/>
    <w:rsid w:val="00C04725"/>
    <w:rsid w:val="00C063F2"/>
    <w:rsid w:val="00C12997"/>
    <w:rsid w:val="00C3764F"/>
    <w:rsid w:val="00C61171"/>
    <w:rsid w:val="00C64797"/>
    <w:rsid w:val="00C75509"/>
    <w:rsid w:val="00C909F5"/>
    <w:rsid w:val="00D572EB"/>
    <w:rsid w:val="00D73971"/>
    <w:rsid w:val="00DA75D9"/>
    <w:rsid w:val="00E31B57"/>
    <w:rsid w:val="00E3392B"/>
    <w:rsid w:val="00E458F0"/>
    <w:rsid w:val="00E6074A"/>
    <w:rsid w:val="00E64FE6"/>
    <w:rsid w:val="00E92C1C"/>
    <w:rsid w:val="00EB126C"/>
    <w:rsid w:val="00EC53C8"/>
    <w:rsid w:val="00ED63E4"/>
    <w:rsid w:val="00F04574"/>
    <w:rsid w:val="00F0758E"/>
    <w:rsid w:val="00F113B0"/>
    <w:rsid w:val="00F30E47"/>
    <w:rsid w:val="00F46B30"/>
    <w:rsid w:val="00F507F0"/>
    <w:rsid w:val="00F85757"/>
    <w:rsid w:val="00FD5BC2"/>
    <w:rsid w:val="00FF3F44"/>
    <w:rsid w:val="03DAF50D"/>
    <w:rsid w:val="041539B7"/>
    <w:rsid w:val="07335F83"/>
    <w:rsid w:val="0A0D905E"/>
    <w:rsid w:val="18F8F9A1"/>
    <w:rsid w:val="1B777534"/>
    <w:rsid w:val="25467032"/>
    <w:rsid w:val="26FB62C5"/>
    <w:rsid w:val="2720881E"/>
    <w:rsid w:val="278D59DE"/>
    <w:rsid w:val="281E53D9"/>
    <w:rsid w:val="2E6542A7"/>
    <w:rsid w:val="30671845"/>
    <w:rsid w:val="326384EB"/>
    <w:rsid w:val="35F90464"/>
    <w:rsid w:val="3644E2EB"/>
    <w:rsid w:val="3737BAA6"/>
    <w:rsid w:val="3E2C9908"/>
    <w:rsid w:val="4CD37379"/>
    <w:rsid w:val="4F734F7D"/>
    <w:rsid w:val="538CF034"/>
    <w:rsid w:val="58634909"/>
    <w:rsid w:val="593BE9A3"/>
    <w:rsid w:val="65363DED"/>
    <w:rsid w:val="65AA48E5"/>
    <w:rsid w:val="683EB022"/>
    <w:rsid w:val="6D2077F3"/>
    <w:rsid w:val="7409CF3F"/>
    <w:rsid w:val="783B23D6"/>
    <w:rsid w:val="78E738DC"/>
    <w:rsid w:val="7B4F54B5"/>
    <w:rsid w:val="7C891E40"/>
    <w:rsid w:val="7E9DDDA0"/>
    <w:rsid w:val="7FF4B2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DDDA0"/>
  <w15:chartTrackingRefBased/>
  <w15:docId w15:val="{39B1996F-2DFE-46FB-B2D4-9A6E1A8D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uiPriority w:val="9"/>
    <w:unhideWhenUsed/>
    <w:qFormat/>
    <w:rsid w:val="7FF4B22D"/>
    <w:pPr>
      <w:keepNext/>
      <w:keepLines/>
      <w:spacing w:before="160" w:after="80"/>
      <w:outlineLvl w:val="1"/>
    </w:pPr>
    <w:rPr>
      <w:rFonts w:asciiTheme="majorHAnsi" w:eastAsiaTheme="minorEastAsia" w:hAnsiTheme="majorHAnsi" w:cstheme="majorEastAsia"/>
      <w:color w:val="0F4761" w:themeColor="accent1" w:themeShade="BF"/>
      <w:sz w:val="32"/>
      <w:szCs w:val="32"/>
    </w:rPr>
  </w:style>
  <w:style w:type="paragraph" w:styleId="Nadpis3">
    <w:name w:val="heading 3"/>
    <w:basedOn w:val="Normln"/>
    <w:next w:val="Normln"/>
    <w:uiPriority w:val="9"/>
    <w:unhideWhenUsed/>
    <w:qFormat/>
    <w:rsid w:val="7FF4B22D"/>
    <w:pPr>
      <w:keepNext/>
      <w:keepLines/>
      <w:spacing w:before="160" w:after="80"/>
      <w:outlineLvl w:val="2"/>
    </w:pPr>
    <w:rPr>
      <w:rFonts w:eastAsiaTheme="minorEastAsia" w:cstheme="majorEastAsia"/>
      <w:color w:val="0F4761" w:themeColor="accent1" w:themeShade="BF"/>
      <w:sz w:val="28"/>
      <w:szCs w:val="28"/>
    </w:rPr>
  </w:style>
  <w:style w:type="paragraph" w:styleId="Nadpis4">
    <w:name w:val="heading 4"/>
    <w:basedOn w:val="Normln"/>
    <w:next w:val="Normln"/>
    <w:uiPriority w:val="9"/>
    <w:unhideWhenUsed/>
    <w:qFormat/>
    <w:rsid w:val="7FF4B22D"/>
    <w:pPr>
      <w:keepNext/>
      <w:keepLines/>
      <w:spacing w:before="80" w:after="40"/>
      <w:outlineLvl w:val="3"/>
    </w:pPr>
    <w:rPr>
      <w:rFonts w:eastAsiaTheme="minorEastAsia" w:cstheme="majorEastAsia"/>
      <w:i/>
      <w:iCs/>
      <w:color w:val="0F476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A-Odrážky1,Conclusion de partie,List Paragraph2,List Paragraph_0,NAKIT List Paragraph,Nad,Nad1,Nad2,Odsazené,Odstavec 1,Odstavec_muj,Odstavec_muj1,Odstavec_muj2,Odstavec_muj3,Odstavec_muj4,Odstavec_muj5,_Odstavec se seznamem,lp1,nad"/>
    <w:basedOn w:val="Normln"/>
    <w:link w:val="OdstavecseseznamemChar"/>
    <w:uiPriority w:val="34"/>
    <w:qFormat/>
    <w:rsid w:val="7FF4B22D"/>
    <w:pPr>
      <w:ind w:left="720"/>
      <w:contextualSpacing/>
    </w:p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dstavecseseznamemChar">
    <w:name w:val="Odstavec se seznamem Char"/>
    <w:aliases w:val="A-Odrážky1 Char,Conclusion de partie Char,List Paragraph2 Char,List Paragraph_0 Char,NAKIT List Paragraph Char,Nad Char,Nad1 Char,Nad2 Char,Odsazené Char,Odstavec 1 Char,Odstavec_muj Char,Odstavec_muj1 Char,Odstavec_muj2 Char"/>
    <w:link w:val="Odstavecseseznamem"/>
    <w:uiPriority w:val="34"/>
    <w:qFormat/>
    <w:locked/>
    <w:rsid w:val="00F30E47"/>
  </w:style>
  <w:style w:type="paragraph" w:styleId="Normlnweb">
    <w:name w:val="Normal (Web)"/>
    <w:basedOn w:val="Normln"/>
    <w:uiPriority w:val="99"/>
    <w:semiHidden/>
    <w:unhideWhenUsed/>
    <w:rsid w:val="00481BB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194735">
      <w:bodyDiv w:val="1"/>
      <w:marLeft w:val="0"/>
      <w:marRight w:val="0"/>
      <w:marTop w:val="0"/>
      <w:marBottom w:val="0"/>
      <w:divBdr>
        <w:top w:val="none" w:sz="0" w:space="0" w:color="auto"/>
        <w:left w:val="none" w:sz="0" w:space="0" w:color="auto"/>
        <w:bottom w:val="none" w:sz="0" w:space="0" w:color="auto"/>
        <w:right w:val="none" w:sz="0" w:space="0" w:color="auto"/>
      </w:divBdr>
    </w:div>
    <w:div w:id="1467969165">
      <w:bodyDiv w:val="1"/>
      <w:marLeft w:val="0"/>
      <w:marRight w:val="0"/>
      <w:marTop w:val="0"/>
      <w:marBottom w:val="0"/>
      <w:divBdr>
        <w:top w:val="none" w:sz="0" w:space="0" w:color="auto"/>
        <w:left w:val="none" w:sz="0" w:space="0" w:color="auto"/>
        <w:bottom w:val="none" w:sz="0" w:space="0" w:color="auto"/>
        <w:right w:val="none" w:sz="0" w:space="0" w:color="auto"/>
      </w:divBdr>
    </w:div>
    <w:div w:id="1517112772">
      <w:bodyDiv w:val="1"/>
      <w:marLeft w:val="0"/>
      <w:marRight w:val="0"/>
      <w:marTop w:val="0"/>
      <w:marBottom w:val="0"/>
      <w:divBdr>
        <w:top w:val="none" w:sz="0" w:space="0" w:color="auto"/>
        <w:left w:val="none" w:sz="0" w:space="0" w:color="auto"/>
        <w:bottom w:val="none" w:sz="0" w:space="0" w:color="auto"/>
        <w:right w:val="none" w:sz="0" w:space="0" w:color="auto"/>
      </w:divBdr>
    </w:div>
    <w:div w:id="1806047724">
      <w:bodyDiv w:val="1"/>
      <w:marLeft w:val="0"/>
      <w:marRight w:val="0"/>
      <w:marTop w:val="0"/>
      <w:marBottom w:val="0"/>
      <w:divBdr>
        <w:top w:val="none" w:sz="0" w:space="0" w:color="auto"/>
        <w:left w:val="none" w:sz="0" w:space="0" w:color="auto"/>
        <w:bottom w:val="none" w:sz="0" w:space="0" w:color="auto"/>
        <w:right w:val="none" w:sz="0" w:space="0" w:color="auto"/>
      </w:divBdr>
    </w:div>
    <w:div w:id="1851144732">
      <w:bodyDiv w:val="1"/>
      <w:marLeft w:val="0"/>
      <w:marRight w:val="0"/>
      <w:marTop w:val="0"/>
      <w:marBottom w:val="0"/>
      <w:divBdr>
        <w:top w:val="none" w:sz="0" w:space="0" w:color="auto"/>
        <w:left w:val="none" w:sz="0" w:space="0" w:color="auto"/>
        <w:bottom w:val="none" w:sz="0" w:space="0" w:color="auto"/>
        <w:right w:val="none" w:sz="0" w:space="0" w:color="auto"/>
      </w:divBdr>
    </w:div>
    <w:div w:id="205785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C0811-8361-44F2-86A3-7133BC50855D}">
  <ds:schemaRefs>
    <ds:schemaRef ds:uri="http://schemas.microsoft.com/sharepoint/v3/contenttype/forms"/>
  </ds:schemaRefs>
</ds:datastoreItem>
</file>

<file path=customXml/itemProps2.xml><?xml version="1.0" encoding="utf-8"?>
<ds:datastoreItem xmlns:ds="http://schemas.openxmlformats.org/officeDocument/2006/customXml" ds:itemID="{FAF85157-3EB7-4179-9C9E-C80EB843E6E5}"/>
</file>

<file path=customXml/itemProps3.xml><?xml version="1.0" encoding="utf-8"?>
<ds:datastoreItem xmlns:ds="http://schemas.openxmlformats.org/officeDocument/2006/customXml" ds:itemID="{D9DCE3A0-6F96-4609-9B33-9E7E48286081}">
  <ds:schemaRefs>
    <ds:schemaRef ds:uri="http://schemas.microsoft.com/office/2006/metadata/properties"/>
    <ds:schemaRef ds:uri="http://schemas.microsoft.com/office/infopath/2007/PartnerControls"/>
    <ds:schemaRef ds:uri="7571ba84-4cc8-4fe0-baa2-589d3b404907"/>
    <ds:schemaRef ds:uri="cd0d583b-5cee-42d2-a745-b183639ea243"/>
  </ds:schemaRefs>
</ds:datastoreItem>
</file>

<file path=customXml/itemProps4.xml><?xml version="1.0" encoding="utf-8"?>
<ds:datastoreItem xmlns:ds="http://schemas.openxmlformats.org/officeDocument/2006/customXml" ds:itemID="{C214488A-F64A-43F8-B5BF-FDB6AF6C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1895</Words>
  <Characters>11203</Characters>
  <Application>Microsoft Office Word</Application>
  <DocSecurity>0</DocSecurity>
  <Lines>386</Lines>
  <Paragraphs>167</Paragraphs>
  <ScaleCrop>false</ScaleCrop>
  <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 Marek</dc:creator>
  <cp:keywords/>
  <dc:description/>
  <cp:lastModifiedBy>Rai Revta, Kateřina</cp:lastModifiedBy>
  <cp:revision>125</cp:revision>
  <dcterms:created xsi:type="dcterms:W3CDTF">2025-06-09T10:43:00Z</dcterms:created>
  <dcterms:modified xsi:type="dcterms:W3CDTF">2025-10-15T18:21:00Z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y fmtid="{D5CDD505-2E9C-101B-9397-08002B2CF9AE}" pid="4" name="GrammarlyDocumentId">
    <vt:lpwstr>b8bf5dcb-994e-4081-a4c0-ea8742bfa0ea</vt:lpwstr>
  </property>
</Properties>
</file>